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DBED5" w14:textId="77777777" w:rsidR="005656D2" w:rsidRPr="005656D2" w:rsidRDefault="005656D2" w:rsidP="005656D2">
      <w:pPr>
        <w:rPr>
          <w:b/>
          <w:bCs/>
        </w:rPr>
      </w:pPr>
      <w:r>
        <w:rPr>
          <w:b/>
          <w:bCs/>
        </w:rPr>
        <w:t>Introduction</w:t>
      </w:r>
    </w:p>
    <w:p w14:paraId="5D9759A5" w14:textId="56DDA75F" w:rsidR="005C5F65" w:rsidRDefault="005C5F65" w:rsidP="00715E13"/>
    <w:p w14:paraId="6CB05289" w14:textId="18A31D35" w:rsidR="00715E13" w:rsidRDefault="00715E13" w:rsidP="00715E13">
      <w:r>
        <w:t>Lithium</w:t>
      </w:r>
      <w:r w:rsidR="00F92A2F">
        <w:t xml:space="preserve"> </w:t>
      </w:r>
      <w:r>
        <w:t>ion batteries may be present on our sites</w:t>
      </w:r>
      <w:r w:rsidR="00CB107B">
        <w:t xml:space="preserve"> for a multitude of reasons</w:t>
      </w:r>
      <w:r w:rsidR="005C3F8E">
        <w:t xml:space="preserve"> outside of their use in EVs</w:t>
      </w:r>
      <w:r w:rsidR="005051A6">
        <w:t>, e-bikes and other electric modes of transport.</w:t>
      </w:r>
      <w:r w:rsidR="00CB107B">
        <w:t xml:space="preserve"> </w:t>
      </w:r>
      <w:r w:rsidR="00CF12AE">
        <w:t>Lithium ion b</w:t>
      </w:r>
      <w:r w:rsidR="00CB107B">
        <w:t xml:space="preserve">atteries </w:t>
      </w:r>
      <w:r w:rsidR="00AB245B">
        <w:t>may be available for purchase</w:t>
      </w:r>
      <w:r w:rsidR="00E931A4">
        <w:t xml:space="preserve"> from a stand</w:t>
      </w:r>
      <w:r w:rsidR="00C76521">
        <w:t xml:space="preserve"> either integrated </w:t>
      </w:r>
      <w:r w:rsidR="004723EC">
        <w:t>inside a</w:t>
      </w:r>
      <w:r w:rsidR="00C76521">
        <w:t xml:space="preserve"> product or as </w:t>
      </w:r>
      <w:r w:rsidR="004723EC">
        <w:t xml:space="preserve">sold </w:t>
      </w:r>
      <w:r w:rsidR="00C76521">
        <w:t>a</w:t>
      </w:r>
      <w:r w:rsidR="00EA19AD">
        <w:t>s</w:t>
      </w:r>
      <w:r w:rsidR="00C76521">
        <w:t xml:space="preserve"> individual </w:t>
      </w:r>
      <w:r w:rsidR="004723EC">
        <w:t>batte</w:t>
      </w:r>
      <w:r w:rsidR="00EA19AD">
        <w:t>ries</w:t>
      </w:r>
      <w:r w:rsidR="00C76521">
        <w:t xml:space="preserve">. Lithium ion batteries may also be </w:t>
      </w:r>
      <w:r w:rsidR="00044EAB">
        <w:t xml:space="preserve">an inherent part of </w:t>
      </w:r>
      <w:r w:rsidR="006410F8">
        <w:t xml:space="preserve">the </w:t>
      </w:r>
      <w:r w:rsidR="004523B7">
        <w:t xml:space="preserve">reason for exhibiting or displaying at one of our venues. </w:t>
      </w:r>
    </w:p>
    <w:p w14:paraId="04342391" w14:textId="77777777" w:rsidR="008402CE" w:rsidRDefault="008402CE" w:rsidP="00715E13"/>
    <w:p w14:paraId="52E3FC81" w14:textId="27705655" w:rsidR="00141747" w:rsidRDefault="000B5386" w:rsidP="00141747">
      <w:r w:rsidRPr="000B5386">
        <w:t xml:space="preserve">The use of </w:t>
      </w:r>
      <w:r>
        <w:t xml:space="preserve">lithium ion </w:t>
      </w:r>
      <w:r w:rsidRPr="000B5386">
        <w:t>batteries to provide</w:t>
      </w:r>
      <w:r w:rsidR="008F00D9">
        <w:t xml:space="preserve"> </w:t>
      </w:r>
      <w:r w:rsidRPr="000B5386">
        <w:t>power</w:t>
      </w:r>
      <w:r w:rsidR="008F00D9">
        <w:t xml:space="preserve"> to </w:t>
      </w:r>
      <w:r w:rsidR="0075420A">
        <w:t>a stand</w:t>
      </w:r>
      <w:r w:rsidRPr="000B5386">
        <w:t xml:space="preserve"> is strictly prohibited</w:t>
      </w:r>
      <w:r w:rsidR="0075420A">
        <w:t>.</w:t>
      </w:r>
    </w:p>
    <w:p w14:paraId="5022ECB4" w14:textId="77777777" w:rsidR="000B5386" w:rsidRDefault="000B5386" w:rsidP="00141747"/>
    <w:p w14:paraId="1256F6A5" w14:textId="77777777" w:rsidR="005C5F65" w:rsidRPr="005C5F65" w:rsidRDefault="005C5F65" w:rsidP="005C5F65">
      <w:pPr>
        <w:rPr>
          <w:b/>
          <w:bCs/>
        </w:rPr>
      </w:pPr>
      <w:r w:rsidRPr="005C5F65">
        <w:rPr>
          <w:b/>
          <w:bCs/>
        </w:rPr>
        <w:t>Risks</w:t>
      </w:r>
    </w:p>
    <w:p w14:paraId="2D40DA67" w14:textId="7910707B" w:rsidR="005C5F65" w:rsidRDefault="005C5F65" w:rsidP="005C5F65">
      <w:r>
        <w:t xml:space="preserve">The risks involved with having such </w:t>
      </w:r>
      <w:r w:rsidR="00D57F01">
        <w:t>items</w:t>
      </w:r>
      <w:r>
        <w:t xml:space="preserve"> within </w:t>
      </w:r>
      <w:r w:rsidR="00E2397A">
        <w:t>any</w:t>
      </w:r>
      <w:r>
        <w:t xml:space="preserve"> NEC </w:t>
      </w:r>
      <w:r w:rsidR="00E2397A">
        <w:t>Group v</w:t>
      </w:r>
      <w:r>
        <w:t>enue include:</w:t>
      </w:r>
    </w:p>
    <w:p w14:paraId="2C077FAE" w14:textId="77777777" w:rsidR="005C5F65" w:rsidRDefault="005C5F65" w:rsidP="005C5F65">
      <w:pPr>
        <w:numPr>
          <w:ilvl w:val="0"/>
          <w:numId w:val="19"/>
        </w:numPr>
      </w:pPr>
      <w:r>
        <w:t>The presence of high voltage components and cabling capable of delivering fatal electric shock</w:t>
      </w:r>
    </w:p>
    <w:p w14:paraId="36B9FD05" w14:textId="77777777" w:rsidR="005C5F65" w:rsidRDefault="005C5F65" w:rsidP="005C5F65">
      <w:pPr>
        <w:numPr>
          <w:ilvl w:val="0"/>
          <w:numId w:val="19"/>
        </w:numPr>
      </w:pPr>
      <w:r>
        <w:t>The storage of electrical energy with the potential to cause explosion or fire</w:t>
      </w:r>
    </w:p>
    <w:p w14:paraId="182C753F" w14:textId="77777777" w:rsidR="005C5F65" w:rsidRDefault="005C5F65" w:rsidP="005C5F65">
      <w:pPr>
        <w:numPr>
          <w:ilvl w:val="0"/>
          <w:numId w:val="19"/>
        </w:numPr>
      </w:pPr>
      <w:r>
        <w:t>The potential for increased battery temperature, thermal runaway and fire.</w:t>
      </w:r>
    </w:p>
    <w:p w14:paraId="7C9AAFD9" w14:textId="031C43BB" w:rsidR="005C5F65" w:rsidRDefault="005C5F65" w:rsidP="005C5F65">
      <w:pPr>
        <w:numPr>
          <w:ilvl w:val="0"/>
          <w:numId w:val="19"/>
        </w:numPr>
      </w:pPr>
      <w:r>
        <w:t>Components that may retain a dangerous voltage even when the</w:t>
      </w:r>
      <w:r w:rsidR="001E61E0">
        <w:t xml:space="preserve"> article/equipment</w:t>
      </w:r>
      <w:r>
        <w:t xml:space="preserve"> is turned off</w:t>
      </w:r>
    </w:p>
    <w:p w14:paraId="4F86F8C5" w14:textId="2B6DD2FC" w:rsidR="007D7F54" w:rsidRDefault="005C5F65" w:rsidP="007D7F54">
      <w:pPr>
        <w:numPr>
          <w:ilvl w:val="0"/>
          <w:numId w:val="19"/>
        </w:numPr>
      </w:pPr>
      <w:r>
        <w:t>The potential for the release of explosive gases and harmful liquids if batteries are damaged</w:t>
      </w:r>
    </w:p>
    <w:p w14:paraId="573AF4BC" w14:textId="77777777" w:rsidR="005C5F65" w:rsidRDefault="005C5F65" w:rsidP="005C5F65"/>
    <w:p w14:paraId="0BCBBA8C" w14:textId="77777777" w:rsidR="005C5F65" w:rsidRDefault="005C5F65" w:rsidP="005C5F65">
      <w:pPr>
        <w:rPr>
          <w:b/>
          <w:bCs/>
        </w:rPr>
      </w:pPr>
      <w:r>
        <w:rPr>
          <w:b/>
          <w:bCs/>
        </w:rPr>
        <w:t>Exhibitor / Organiser Guidance</w:t>
      </w:r>
    </w:p>
    <w:p w14:paraId="21C05611" w14:textId="39D8BE6B" w:rsidR="005C5F65" w:rsidRPr="00D45A0B" w:rsidRDefault="005C5F65" w:rsidP="005C5F65">
      <w:pPr>
        <w:rPr>
          <w:color w:val="FF0000"/>
        </w:rPr>
      </w:pPr>
      <w:r w:rsidRPr="005C5F65">
        <w:t>Any exhibitors or organisers</w:t>
      </w:r>
      <w:r>
        <w:t xml:space="preserve"> that</w:t>
      </w:r>
      <w:r w:rsidRPr="005C5F65">
        <w:t xml:space="preserve"> wish to bring</w:t>
      </w:r>
      <w:r w:rsidR="00371FB5">
        <w:t xml:space="preserve"> lithium ion batteries into an event</w:t>
      </w:r>
      <w:r w:rsidR="0075420A">
        <w:t xml:space="preserve"> </w:t>
      </w:r>
      <w:r w:rsidR="00371FB5">
        <w:t>should declare this to the venue</w:t>
      </w:r>
      <w:r w:rsidR="00D45A0B">
        <w:t xml:space="preserve"> 28 days in advance. This applies to any more than one battery unit being brought in. </w:t>
      </w:r>
      <w:r w:rsidR="001A7B3A">
        <w:t xml:space="preserve">The maximum capacity that any stand can bring in is a total of 40 kWh power, which will be the size of an average hybrid car. </w:t>
      </w:r>
      <w:r w:rsidR="00B43217">
        <w:t>If there are a</w:t>
      </w:r>
      <w:r w:rsidR="00CE5E17">
        <w:t xml:space="preserve">ny more than two </w:t>
      </w:r>
      <w:r w:rsidR="00B43217">
        <w:t xml:space="preserve">stands </w:t>
      </w:r>
      <w:r w:rsidR="00C00517">
        <w:t xml:space="preserve">at this level, this should be discussed with the </w:t>
      </w:r>
      <w:r w:rsidR="00CE5E17">
        <w:t>NEC Group Safety Team</w:t>
      </w:r>
      <w:r w:rsidR="00C00517">
        <w:t xml:space="preserve">. </w:t>
      </w:r>
    </w:p>
    <w:p w14:paraId="6AB28F68" w14:textId="77777777" w:rsidR="005C5F65" w:rsidRPr="005C5F65" w:rsidRDefault="005C5F65" w:rsidP="005C5F65">
      <w:r w:rsidRPr="005C5F65">
        <w:t xml:space="preserve"> </w:t>
      </w:r>
    </w:p>
    <w:p w14:paraId="5F3482B0" w14:textId="3C64C2FB" w:rsidR="005C5F65" w:rsidRDefault="005C5F65" w:rsidP="005C5F65">
      <w:r w:rsidRPr="005C5F65">
        <w:t>The</w:t>
      </w:r>
      <w:r w:rsidR="00316B25">
        <w:t xml:space="preserve"> </w:t>
      </w:r>
      <w:r w:rsidR="00D45A0B">
        <w:t>display area</w:t>
      </w:r>
      <w:r w:rsidRPr="005C5F65">
        <w:t xml:space="preserve"> must be plotted on the agreed floor plan</w:t>
      </w:r>
      <w:r w:rsidR="00D45A0B">
        <w:t>, in the same way an electric vehicle would be</w:t>
      </w:r>
      <w:r w:rsidR="005A13A3">
        <w:t>, with an indication of the amount of kWh present on each stand</w:t>
      </w:r>
      <w:r w:rsidRPr="005C5F65">
        <w:t>.</w:t>
      </w:r>
      <w:r>
        <w:t xml:space="preserve"> The NEC </w:t>
      </w:r>
      <w:r w:rsidR="00DF50CB">
        <w:t>Group Event</w:t>
      </w:r>
      <w:r w:rsidR="009A7E08">
        <w:t xml:space="preserve">/Production </w:t>
      </w:r>
      <w:r w:rsidR="00DF50CB">
        <w:t xml:space="preserve">Manager </w:t>
      </w:r>
      <w:r w:rsidR="00DA7AD5">
        <w:t>should</w:t>
      </w:r>
      <w:r w:rsidRPr="005C5F65">
        <w:t xml:space="preserve"> inform </w:t>
      </w:r>
      <w:r w:rsidR="00DF50CB">
        <w:t xml:space="preserve">NEC Group </w:t>
      </w:r>
      <w:r w:rsidR="00DA7AD5">
        <w:t>Safety Team</w:t>
      </w:r>
      <w:r w:rsidRPr="005C5F65">
        <w:t xml:space="preserve"> of the location of </w:t>
      </w:r>
      <w:r w:rsidR="00316B25">
        <w:t xml:space="preserve">the </w:t>
      </w:r>
      <w:r w:rsidR="00D45A0B">
        <w:t>batteries</w:t>
      </w:r>
      <w:r w:rsidR="009A7E08">
        <w:t xml:space="preserve"> (</w:t>
      </w:r>
      <w:r w:rsidR="00DF50CB">
        <w:t>and the NEC Group Fire Team of any areas</w:t>
      </w:r>
      <w:r w:rsidR="00B319BA">
        <w:t xml:space="preserve"> within the NEC Venue</w:t>
      </w:r>
      <w:r w:rsidR="009A7E08">
        <w:t>)</w:t>
      </w:r>
      <w:r>
        <w:t>.</w:t>
      </w:r>
    </w:p>
    <w:p w14:paraId="7C868814" w14:textId="77777777" w:rsidR="00D23B6B" w:rsidRPr="005824D0" w:rsidRDefault="00D23B6B" w:rsidP="005C5F65"/>
    <w:p w14:paraId="501F67EB" w14:textId="3C097A1E" w:rsidR="00D23B6B" w:rsidRPr="005824D0" w:rsidRDefault="00D23B6B" w:rsidP="005C5F65">
      <w:r w:rsidRPr="005824D0">
        <w:t>All batteries must be production batteries which have passed</w:t>
      </w:r>
      <w:r w:rsidR="00850792" w:rsidRPr="005824D0">
        <w:t xml:space="preserve"> the appropriate test</w:t>
      </w:r>
      <w:r w:rsidR="00E04688" w:rsidRPr="005824D0">
        <w:t xml:space="preserve"> and not prototypes</w:t>
      </w:r>
      <w:r w:rsidR="00850792" w:rsidRPr="005824D0">
        <w:t>. For batteries</w:t>
      </w:r>
      <w:r w:rsidR="00E04688" w:rsidRPr="005824D0">
        <w:t>,</w:t>
      </w:r>
      <w:r w:rsidR="00850792" w:rsidRPr="005824D0">
        <w:t xml:space="preserve"> t</w:t>
      </w:r>
      <w:r w:rsidR="007A6DF1" w:rsidRPr="005824D0">
        <w:rPr>
          <w:rFonts w:cs="Arial"/>
          <w:szCs w:val="22"/>
          <w:shd w:val="clear" w:color="auto" w:fill="FFFFFF"/>
        </w:rPr>
        <w:t xml:space="preserve">hese tests are described in the United Nations </w:t>
      </w:r>
      <w:r w:rsidR="00E04688" w:rsidRPr="005824D0">
        <w:rPr>
          <w:rFonts w:cs="Arial"/>
          <w:szCs w:val="22"/>
          <w:shd w:val="clear" w:color="auto" w:fill="FFFFFF"/>
        </w:rPr>
        <w:t>M</w:t>
      </w:r>
      <w:r w:rsidR="007A6DF1" w:rsidRPr="005824D0">
        <w:rPr>
          <w:rFonts w:cs="Arial"/>
          <w:szCs w:val="22"/>
          <w:shd w:val="clear" w:color="auto" w:fill="FFFFFF"/>
        </w:rPr>
        <w:t xml:space="preserve">anual called "UN </w:t>
      </w:r>
      <w:r w:rsidR="00E04688" w:rsidRPr="005824D0">
        <w:rPr>
          <w:rFonts w:cs="Arial"/>
          <w:szCs w:val="22"/>
          <w:shd w:val="clear" w:color="auto" w:fill="FFFFFF"/>
        </w:rPr>
        <w:t>M</w:t>
      </w:r>
      <w:r w:rsidR="007A6DF1" w:rsidRPr="005824D0">
        <w:rPr>
          <w:rFonts w:cs="Arial"/>
          <w:szCs w:val="22"/>
          <w:shd w:val="clear" w:color="auto" w:fill="FFFFFF"/>
        </w:rPr>
        <w:t xml:space="preserve">anual of </w:t>
      </w:r>
      <w:r w:rsidR="00E04688" w:rsidRPr="005824D0">
        <w:rPr>
          <w:rFonts w:cs="Arial"/>
          <w:szCs w:val="22"/>
          <w:shd w:val="clear" w:color="auto" w:fill="FFFFFF"/>
        </w:rPr>
        <w:t>T</w:t>
      </w:r>
      <w:r w:rsidR="007A6DF1" w:rsidRPr="005824D0">
        <w:rPr>
          <w:rFonts w:cs="Arial"/>
          <w:szCs w:val="22"/>
          <w:shd w:val="clear" w:color="auto" w:fill="FFFFFF"/>
        </w:rPr>
        <w:t xml:space="preserve">ests and </w:t>
      </w:r>
      <w:r w:rsidR="00E04688" w:rsidRPr="005824D0">
        <w:rPr>
          <w:rFonts w:cs="Arial"/>
          <w:szCs w:val="22"/>
          <w:shd w:val="clear" w:color="auto" w:fill="FFFFFF"/>
        </w:rPr>
        <w:t>C</w:t>
      </w:r>
      <w:r w:rsidR="007A6DF1" w:rsidRPr="005824D0">
        <w:rPr>
          <w:rFonts w:cs="Arial"/>
          <w:szCs w:val="22"/>
          <w:shd w:val="clear" w:color="auto" w:fill="FFFFFF"/>
        </w:rPr>
        <w:t>riteria"</w:t>
      </w:r>
      <w:r w:rsidR="00FE1DAB" w:rsidRPr="005824D0">
        <w:rPr>
          <w:rFonts w:cs="Arial"/>
          <w:szCs w:val="22"/>
          <w:shd w:val="clear" w:color="auto" w:fill="FFFFFF"/>
        </w:rPr>
        <w:t xml:space="preserve">, </w:t>
      </w:r>
      <w:r w:rsidR="00E04688" w:rsidRPr="005824D0">
        <w:rPr>
          <w:rFonts w:cs="Arial"/>
          <w:szCs w:val="22"/>
          <w:shd w:val="clear" w:color="auto" w:fill="FFFFFF"/>
        </w:rPr>
        <w:t>S</w:t>
      </w:r>
      <w:r w:rsidR="00FE1DAB" w:rsidRPr="005824D0">
        <w:rPr>
          <w:rFonts w:cs="Arial"/>
          <w:szCs w:val="22"/>
          <w:shd w:val="clear" w:color="auto" w:fill="FFFFFF"/>
        </w:rPr>
        <w:t>ection 38.3.</w:t>
      </w:r>
      <w:r w:rsidR="00FE1DAB" w:rsidRPr="005824D0">
        <w:t xml:space="preserve"> T</w:t>
      </w:r>
      <w:r w:rsidR="00850792" w:rsidRPr="005824D0">
        <w:rPr>
          <w:rFonts w:cs="Arial"/>
          <w:szCs w:val="22"/>
          <w:shd w:val="clear" w:color="auto" w:fill="FFFFFF"/>
        </w:rPr>
        <w:t>hese tests simulate transport conditions like pressure, temperature, crush, impact e</w:t>
      </w:r>
      <w:r w:rsidR="00FE1DAB" w:rsidRPr="005824D0">
        <w:rPr>
          <w:rFonts w:cs="Arial"/>
          <w:szCs w:val="22"/>
          <w:shd w:val="clear" w:color="auto" w:fill="FFFFFF"/>
        </w:rPr>
        <w:t>tc</w:t>
      </w:r>
      <w:r w:rsidR="00850792" w:rsidRPr="005824D0">
        <w:rPr>
          <w:rFonts w:cs="Arial"/>
          <w:szCs w:val="22"/>
          <w:shd w:val="clear" w:color="auto" w:fill="FFFFFF"/>
        </w:rPr>
        <w:t xml:space="preserve">. </w:t>
      </w:r>
      <w:r w:rsidR="001809C2" w:rsidRPr="005824D0">
        <w:t>Evidence of this must be provided to the Event</w:t>
      </w:r>
      <w:r w:rsidR="0097083F" w:rsidRPr="005824D0">
        <w:t>/Production</w:t>
      </w:r>
      <w:r w:rsidR="001809C2" w:rsidRPr="005824D0">
        <w:t xml:space="preserve"> Manager</w:t>
      </w:r>
      <w:r w:rsidR="00CD0FBE" w:rsidRPr="005824D0">
        <w:t xml:space="preserve">, unless the batteries are quite clearly production batteries, with a recognised make </w:t>
      </w:r>
      <w:r w:rsidR="001E13BE" w:rsidRPr="005824D0">
        <w:t xml:space="preserve">named on them. </w:t>
      </w:r>
    </w:p>
    <w:p w14:paraId="1F2A41DA" w14:textId="77777777" w:rsidR="004D5F21" w:rsidRDefault="004D5F21" w:rsidP="005C5F65"/>
    <w:p w14:paraId="45EBF288" w14:textId="7E682328" w:rsidR="004D5F21" w:rsidRDefault="004D5F21" w:rsidP="005C5F65">
      <w:r>
        <w:t xml:space="preserve">In terms of storage, it is expected that batteries will be at around 40% </w:t>
      </w:r>
      <w:r w:rsidR="00F617C7">
        <w:t>charge, as the optimal level for stability</w:t>
      </w:r>
      <w:r w:rsidR="000220E3">
        <w:t xml:space="preserve">, with the battery rested for 90 minutes before a reading is taken. </w:t>
      </w:r>
      <w:r w:rsidR="000A65DC">
        <w:t xml:space="preserve">The temperature in the area must be monitored, with this ideally remaining </w:t>
      </w:r>
      <w:r w:rsidR="005449DB">
        <w:t xml:space="preserve">around 15 degrees Celsius. </w:t>
      </w:r>
      <w:r w:rsidR="00B85049">
        <w:t>If there is a</w:t>
      </w:r>
      <w:r w:rsidR="00A0572E">
        <w:t xml:space="preserve">ny indication that temperature is </w:t>
      </w:r>
      <w:r w:rsidR="007836E9">
        <w:t>going to an extreme (0 degrees Celsius or above 25 degrees Celsius</w:t>
      </w:r>
      <w:r w:rsidR="005B248A">
        <w:t>)</w:t>
      </w:r>
      <w:r w:rsidR="007836E9">
        <w:t xml:space="preserve"> considerations should be given to moving the batteries to a</w:t>
      </w:r>
      <w:r w:rsidR="00ED6A2A">
        <w:t xml:space="preserve"> different area or making changes to the temperature manually. </w:t>
      </w:r>
      <w:r w:rsidR="00817912">
        <w:t>The area should be dry</w:t>
      </w:r>
      <w:r w:rsidR="00112651">
        <w:t>,</w:t>
      </w:r>
      <w:r w:rsidR="00817912">
        <w:t xml:space="preserve"> well ventilated</w:t>
      </w:r>
      <w:r w:rsidR="00B8760A">
        <w:t xml:space="preserve"> and out of direct sunlight</w:t>
      </w:r>
      <w:r w:rsidR="00817912">
        <w:t xml:space="preserve">. </w:t>
      </w:r>
      <w:r w:rsidR="00F0633E">
        <w:t>The exact storage requirements should be confirmed with the battery manufacturer.</w:t>
      </w:r>
      <w:r w:rsidR="0048043F">
        <w:t xml:space="preserve"> </w:t>
      </w:r>
    </w:p>
    <w:p w14:paraId="726BB9E4" w14:textId="77777777" w:rsidR="00D52D92" w:rsidRDefault="00D52D92" w:rsidP="005C5F65"/>
    <w:p w14:paraId="45D4B3D7" w14:textId="42F677C1" w:rsidR="00D52D92" w:rsidRDefault="00D52D92" w:rsidP="005C5F65">
      <w:pPr>
        <w:rPr>
          <w:color w:val="FF0000"/>
        </w:rPr>
      </w:pPr>
      <w:r>
        <w:t>Different battery demonstrations/storage areas should be at least t</w:t>
      </w:r>
      <w:r w:rsidR="002F752E">
        <w:t>hree</w:t>
      </w:r>
      <w:r>
        <w:t xml:space="preserve"> metres apart from each other. The total</w:t>
      </w:r>
      <w:r w:rsidR="00592F26">
        <w:t xml:space="preserve"> of 40</w:t>
      </w:r>
      <w:r>
        <w:t xml:space="preserve"> kWh of the batteries in any one specific area should not </w:t>
      </w:r>
      <w:r w:rsidR="007A7367">
        <w:t xml:space="preserve">be </w:t>
      </w:r>
      <w:r>
        <w:t>exceed</w:t>
      </w:r>
      <w:r w:rsidR="007A7367">
        <w:t>ed</w:t>
      </w:r>
      <w:r w:rsidR="00592F26">
        <w:t>.</w:t>
      </w:r>
      <w:r>
        <w:rPr>
          <w:color w:val="FF0000"/>
        </w:rPr>
        <w:t xml:space="preserve"> </w:t>
      </w:r>
    </w:p>
    <w:p w14:paraId="37DCF46C" w14:textId="77777777" w:rsidR="005824D0" w:rsidRDefault="005824D0" w:rsidP="005C5F65">
      <w:pPr>
        <w:rPr>
          <w:color w:val="FF0000"/>
        </w:rPr>
      </w:pPr>
    </w:p>
    <w:p w14:paraId="4B441293" w14:textId="77777777" w:rsidR="005824D0" w:rsidRDefault="005824D0" w:rsidP="005C5F65">
      <w:pPr>
        <w:rPr>
          <w:color w:val="FF0000"/>
        </w:rPr>
      </w:pPr>
    </w:p>
    <w:p w14:paraId="6E791D73" w14:textId="77777777" w:rsidR="005824D0" w:rsidRDefault="005824D0" w:rsidP="005C5F65"/>
    <w:p w14:paraId="5FE27790" w14:textId="46240414" w:rsidR="005C5F65" w:rsidRDefault="005C5F65" w:rsidP="005C5F65"/>
    <w:p w14:paraId="0E11BD50" w14:textId="77777777" w:rsidR="005C5F65" w:rsidRDefault="005C5F65" w:rsidP="005C5F65">
      <w:pPr>
        <w:rPr>
          <w:u w:val="single"/>
        </w:rPr>
      </w:pPr>
      <w:r w:rsidRPr="005C5F65">
        <w:rPr>
          <w:u w:val="single"/>
        </w:rPr>
        <w:lastRenderedPageBreak/>
        <w:t>Daytime Charging</w:t>
      </w:r>
    </w:p>
    <w:p w14:paraId="59984C0D" w14:textId="2E5B5105" w:rsidR="005C5F65" w:rsidRDefault="005C5F65" w:rsidP="005C5F65">
      <w:r w:rsidRPr="005C5F65">
        <w:t xml:space="preserve">Where </w:t>
      </w:r>
      <w:r w:rsidR="00BC3C54">
        <w:t>batteries</w:t>
      </w:r>
      <w:r w:rsidRPr="005C5F65">
        <w:t xml:space="preserve"> </w:t>
      </w:r>
      <w:r w:rsidR="00DA7AD5">
        <w:t>need</w:t>
      </w:r>
      <w:r w:rsidRPr="005C5F65">
        <w:t xml:space="preserve"> to be charged</w:t>
      </w:r>
      <w:r w:rsidR="00BC3C54">
        <w:t>,</w:t>
      </w:r>
      <w:r w:rsidRPr="005C5F65">
        <w:t xml:space="preserve"> this </w:t>
      </w:r>
      <w:r>
        <w:t>should</w:t>
      </w:r>
      <w:r w:rsidRPr="005C5F65">
        <w:t xml:space="preserve"> be done when the building is occupied during the day</w:t>
      </w:r>
      <w:r w:rsidR="00B16D6D">
        <w:t xml:space="preserve"> where the exhibitors will be responsible for monitoring the</w:t>
      </w:r>
      <w:r w:rsidR="00316B25">
        <w:t xml:space="preserve"> b</w:t>
      </w:r>
      <w:r w:rsidR="00BC3C54">
        <w:t>atteries</w:t>
      </w:r>
      <w:r w:rsidR="00B16D6D">
        <w:t>. In addition, the</w:t>
      </w:r>
      <w:r>
        <w:t xml:space="preserve"> following </w:t>
      </w:r>
      <w:r w:rsidR="00DA7AD5">
        <w:t>is</w:t>
      </w:r>
      <w:r w:rsidR="00B16D6D">
        <w:t xml:space="preserve"> also required</w:t>
      </w:r>
      <w:r>
        <w:t>:</w:t>
      </w:r>
    </w:p>
    <w:p w14:paraId="42AA6C15" w14:textId="77777777" w:rsidR="005C5F65" w:rsidRDefault="005C5F65" w:rsidP="005C5F65">
      <w:pPr>
        <w:numPr>
          <w:ilvl w:val="0"/>
          <w:numId w:val="20"/>
        </w:numPr>
      </w:pPr>
      <w:r>
        <w:t>The charging point should be installed by an approved electrical contractor and signed off.</w:t>
      </w:r>
    </w:p>
    <w:p w14:paraId="1F0147E9" w14:textId="77777777" w:rsidR="005C5F65" w:rsidRDefault="005C5F65" w:rsidP="005C5F65">
      <w:pPr>
        <w:numPr>
          <w:ilvl w:val="0"/>
          <w:numId w:val="20"/>
        </w:numPr>
      </w:pPr>
      <w:r>
        <w:t>Only the dedicated power supply for that stand should be used for charging</w:t>
      </w:r>
      <w:r w:rsidR="00DA7AD5">
        <w:t>.</w:t>
      </w:r>
    </w:p>
    <w:p w14:paraId="0F3066CD" w14:textId="77777777" w:rsidR="005C5F65" w:rsidRDefault="005C5F65" w:rsidP="005C5F65">
      <w:pPr>
        <w:numPr>
          <w:ilvl w:val="0"/>
          <w:numId w:val="20"/>
        </w:numPr>
      </w:pPr>
      <w:r>
        <w:t>The correct level of firefighting equipment is supplied.</w:t>
      </w:r>
    </w:p>
    <w:p w14:paraId="4EE47FF1" w14:textId="77777777" w:rsidR="00D23B6B" w:rsidRDefault="00D23B6B" w:rsidP="005C5F65">
      <w:pPr>
        <w:numPr>
          <w:ilvl w:val="0"/>
          <w:numId w:val="20"/>
        </w:numPr>
      </w:pPr>
      <w:r>
        <w:t>Charging cables should be thoroughly checked before use.</w:t>
      </w:r>
    </w:p>
    <w:p w14:paraId="2F0D269B" w14:textId="0AE86F90" w:rsidR="00D23B6B" w:rsidRDefault="00D23B6B" w:rsidP="005C5F65">
      <w:pPr>
        <w:numPr>
          <w:ilvl w:val="0"/>
          <w:numId w:val="20"/>
        </w:numPr>
      </w:pPr>
      <w:r>
        <w:t xml:space="preserve">There should be a functioning over-charge cut off within the charging system. </w:t>
      </w:r>
    </w:p>
    <w:p w14:paraId="268ECAEC" w14:textId="77777777" w:rsidR="00D23B6B" w:rsidRDefault="00D23B6B" w:rsidP="005C5F65">
      <w:pPr>
        <w:numPr>
          <w:ilvl w:val="0"/>
          <w:numId w:val="20"/>
        </w:numPr>
      </w:pPr>
      <w:r>
        <w:t xml:space="preserve">At least the first fifteen minutes of charging should be observed, to look for any problems. </w:t>
      </w:r>
    </w:p>
    <w:p w14:paraId="4F0B8591" w14:textId="77777777" w:rsidR="005C5F65" w:rsidRDefault="005C5F65" w:rsidP="005C5F65">
      <w:r w:rsidRPr="005C5F65">
        <w:t xml:space="preserve"> </w:t>
      </w:r>
    </w:p>
    <w:p w14:paraId="080FF09C" w14:textId="77777777" w:rsidR="005C5F65" w:rsidRDefault="005C5F65" w:rsidP="005C5F65">
      <w:pPr>
        <w:rPr>
          <w:u w:val="single"/>
        </w:rPr>
      </w:pPr>
      <w:r>
        <w:rPr>
          <w:u w:val="single"/>
        </w:rPr>
        <w:t>Overnight Charging</w:t>
      </w:r>
    </w:p>
    <w:p w14:paraId="668E377C" w14:textId="18EF809E" w:rsidR="005C5F65" w:rsidRDefault="00B16D6D" w:rsidP="005C5F65">
      <w:r>
        <w:t xml:space="preserve">The NEC </w:t>
      </w:r>
      <w:r w:rsidR="009A7E08">
        <w:t>Group</w:t>
      </w:r>
      <w:r>
        <w:t xml:space="preserve"> will discourage overnight charging whenever possible. However, should overnight charging be required in addition to the bullet points above the</w:t>
      </w:r>
      <w:r w:rsidR="00DA7AD5">
        <w:t xml:space="preserve"> below must also</w:t>
      </w:r>
      <w:r>
        <w:t xml:space="preserve"> be in place:</w:t>
      </w:r>
    </w:p>
    <w:p w14:paraId="78F36D54" w14:textId="60CBAAA9" w:rsidR="005C5F65" w:rsidRDefault="00DA7AD5" w:rsidP="005C5F65">
      <w:pPr>
        <w:numPr>
          <w:ilvl w:val="0"/>
          <w:numId w:val="20"/>
        </w:numPr>
      </w:pPr>
      <w:r>
        <w:t>O</w:t>
      </w:r>
      <w:r w:rsidR="005C5F65">
        <w:t xml:space="preserve">vernight security within the area of </w:t>
      </w:r>
      <w:r w:rsidR="00A011FB">
        <w:t xml:space="preserve">the </w:t>
      </w:r>
      <w:r w:rsidR="00BC3C54">
        <w:t>battery</w:t>
      </w:r>
      <w:r w:rsidR="005C5F65">
        <w:t xml:space="preserve"> charging.</w:t>
      </w:r>
    </w:p>
    <w:p w14:paraId="2DB63530" w14:textId="71B3D7AF" w:rsidR="00B16D6D" w:rsidRDefault="00DA7AD5" w:rsidP="00B16D6D">
      <w:pPr>
        <w:numPr>
          <w:ilvl w:val="0"/>
          <w:numId w:val="20"/>
        </w:numPr>
      </w:pPr>
      <w:r>
        <w:t xml:space="preserve">Supplier </w:t>
      </w:r>
      <w:r w:rsidR="00BC3C54">
        <w:t xml:space="preserve">or stand contractor </w:t>
      </w:r>
      <w:r>
        <w:t>contact information is made available for any emergencies.</w:t>
      </w:r>
    </w:p>
    <w:p w14:paraId="42234E13" w14:textId="77777777" w:rsidR="003B0C8D" w:rsidRDefault="003B0C8D" w:rsidP="00B16D6D">
      <w:pPr>
        <w:numPr>
          <w:ilvl w:val="0"/>
          <w:numId w:val="20"/>
        </w:numPr>
      </w:pPr>
      <w:r>
        <w:t>CCTV concentrated on that area</w:t>
      </w:r>
    </w:p>
    <w:p w14:paraId="00219AA9" w14:textId="77777777" w:rsidR="00267252" w:rsidRDefault="00267252" w:rsidP="005C5F65"/>
    <w:p w14:paraId="3621B5DB" w14:textId="7586E8D2" w:rsidR="005C5F65" w:rsidRDefault="005C5F65" w:rsidP="005C5F65">
      <w:r>
        <w:t>If overnight charging is to take place whilst the building is unoccupied then it must be discussed with the Organiser, Event</w:t>
      </w:r>
      <w:r w:rsidR="009A7E08">
        <w:t>/Production</w:t>
      </w:r>
      <w:r>
        <w:t xml:space="preserve"> Manager</w:t>
      </w:r>
      <w:r w:rsidR="00B16D6D">
        <w:t xml:space="preserve">, </w:t>
      </w:r>
      <w:r w:rsidR="00AA2A9A">
        <w:t xml:space="preserve">NEC Group </w:t>
      </w:r>
      <w:r w:rsidR="00B16D6D">
        <w:t>Safety Team</w:t>
      </w:r>
      <w:r>
        <w:t xml:space="preserve"> and the venue Security Manager.  All costs</w:t>
      </w:r>
      <w:r w:rsidR="00B16D6D">
        <w:t xml:space="preserve"> incurred</w:t>
      </w:r>
      <w:r>
        <w:t xml:space="preserve"> would be charged back to the event organisers.</w:t>
      </w:r>
    </w:p>
    <w:p w14:paraId="464A5685" w14:textId="77777777" w:rsidR="00D23B6B" w:rsidRDefault="00D23B6B" w:rsidP="005C5F65"/>
    <w:p w14:paraId="2CE5FC7E" w14:textId="57813A81" w:rsidR="00D23B6B" w:rsidRDefault="00D23B6B" w:rsidP="005C5F65">
      <w:r>
        <w:t>If there is any suspected damage to</w:t>
      </w:r>
      <w:r w:rsidR="00267252">
        <w:t xml:space="preserve"> </w:t>
      </w:r>
      <w:r>
        <w:t>the batter</w:t>
      </w:r>
      <w:r w:rsidR="00267252">
        <w:t>y</w:t>
      </w:r>
      <w:r>
        <w:t xml:space="preserve">, it should be taken out of action, moved to an external, non-public area (if safe to do so) and monitored periodically. </w:t>
      </w:r>
      <w:r w:rsidR="00267252">
        <w:t>This can be done by CCTV or by a person</w:t>
      </w:r>
      <w:r w:rsidR="00F01CE8">
        <w:t xml:space="preserve"> monitoring the area.</w:t>
      </w:r>
    </w:p>
    <w:p w14:paraId="0E142EE4" w14:textId="77777777" w:rsidR="00D23B6B" w:rsidRDefault="00D23B6B" w:rsidP="005C5F65"/>
    <w:p w14:paraId="37578E63" w14:textId="36D64DA1" w:rsidR="00D23B6B" w:rsidRDefault="00D23B6B" w:rsidP="005C5F65">
      <w:r>
        <w:t xml:space="preserve">If possible, </w:t>
      </w:r>
      <w:r w:rsidR="00F01CE8">
        <w:t xml:space="preserve">any stand with batteries </w:t>
      </w:r>
      <w:r>
        <w:t xml:space="preserve">should be </w:t>
      </w:r>
      <w:r w:rsidR="00F01CE8">
        <w:t>located</w:t>
      </w:r>
      <w:r>
        <w:t xml:space="preserve"> near to a V</w:t>
      </w:r>
      <w:r w:rsidR="005E7168">
        <w:t xml:space="preserve">ehicle </w:t>
      </w:r>
      <w:r>
        <w:t>E</w:t>
      </w:r>
      <w:r w:rsidR="005E7168">
        <w:t>ntry (VE)</w:t>
      </w:r>
      <w:r>
        <w:t xml:space="preserve"> </w:t>
      </w:r>
      <w:r w:rsidR="004729A2">
        <w:t xml:space="preserve">or Get In </w:t>
      </w:r>
      <w:r>
        <w:t xml:space="preserve">door to aid egress or firefighting, in the event of an emergency. </w:t>
      </w:r>
    </w:p>
    <w:p w14:paraId="34FE303A" w14:textId="77777777" w:rsidR="00B16D6D" w:rsidRDefault="00B16D6D" w:rsidP="005C5F65"/>
    <w:p w14:paraId="168CE6C2" w14:textId="4ECBC549" w:rsidR="005C5F65" w:rsidRDefault="005C5F65" w:rsidP="005C5F65">
      <w:r>
        <w:t xml:space="preserve">All the above would be subject to a risk assessment which should be available to the venue and event organisers. </w:t>
      </w:r>
      <w:r w:rsidR="00D52D92">
        <w:t>It must be accepted that any thermal event involving a lithium ion battery may result in a s</w:t>
      </w:r>
      <w:r w:rsidR="00634D93">
        <w:t>h</w:t>
      </w:r>
      <w:r w:rsidR="00D52D92">
        <w:t xml:space="preserve">ow stop event given the </w:t>
      </w:r>
      <w:r w:rsidR="00634D93">
        <w:t>likely release of toxic fume and further instability within the battery</w:t>
      </w:r>
      <w:r w:rsidR="00DB5C11">
        <w:t>.</w:t>
      </w:r>
      <w:r w:rsidR="00D52D92">
        <w:t xml:space="preserve"> </w:t>
      </w:r>
    </w:p>
    <w:p w14:paraId="30FEE67F" w14:textId="77777777" w:rsidR="00520BC8" w:rsidRDefault="00520BC8" w:rsidP="005C5F65"/>
    <w:p w14:paraId="645AE9CA" w14:textId="1066A456" w:rsidR="000528C1" w:rsidRDefault="000528C1" w:rsidP="005C5F65">
      <w:pPr>
        <w:rPr>
          <w:b/>
          <w:bCs/>
        </w:rPr>
      </w:pPr>
      <w:r>
        <w:rPr>
          <w:b/>
          <w:bCs/>
        </w:rPr>
        <w:t>Additional Documents</w:t>
      </w:r>
    </w:p>
    <w:p w14:paraId="4CBB3642" w14:textId="77777777" w:rsidR="000528C1" w:rsidRDefault="000528C1" w:rsidP="005319AD">
      <w:pPr>
        <w:rPr>
          <w:b/>
          <w:bCs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6"/>
        <w:gridCol w:w="7754"/>
      </w:tblGrid>
      <w:tr w:rsidR="001C1B0A" w:rsidRPr="00FF1E77" w14:paraId="59600DD6" w14:textId="77777777" w:rsidTr="001C1B0A">
        <w:trPr>
          <w:jc w:val="center"/>
        </w:trPr>
        <w:tc>
          <w:tcPr>
            <w:tcW w:w="2301" w:type="dxa"/>
            <w:shd w:val="clear" w:color="auto" w:fill="auto"/>
          </w:tcPr>
          <w:p w14:paraId="2815708D" w14:textId="77777777" w:rsidR="001C1B0A" w:rsidRPr="00FF1E77" w:rsidRDefault="001C1B0A" w:rsidP="00C5449A">
            <w:pPr>
              <w:pStyle w:val="NormalWeb"/>
              <w:ind w:right="-591"/>
              <w:rPr>
                <w:rFonts w:ascii="Arial" w:hAnsi="Arial" w:cs="Arial"/>
              </w:rPr>
            </w:pPr>
            <w:bookmarkStart w:id="0" w:name="_Hlk23331572"/>
            <w:r w:rsidRPr="00FF1E77">
              <w:rPr>
                <w:rFonts w:ascii="Arial" w:hAnsi="Arial" w:cs="Arial"/>
              </w:rPr>
              <w:t>Reference number</w:t>
            </w:r>
          </w:p>
        </w:tc>
        <w:tc>
          <w:tcPr>
            <w:tcW w:w="7754" w:type="dxa"/>
            <w:shd w:val="clear" w:color="auto" w:fill="auto"/>
          </w:tcPr>
          <w:p w14:paraId="598B8AFE" w14:textId="77777777" w:rsidR="001C1B0A" w:rsidRPr="00FF1E77" w:rsidRDefault="001C1B0A" w:rsidP="00C5449A">
            <w:pPr>
              <w:pStyle w:val="NormalWeb"/>
              <w:ind w:right="-591"/>
              <w:rPr>
                <w:rFonts w:ascii="Arial" w:hAnsi="Arial" w:cs="Arial"/>
              </w:rPr>
            </w:pPr>
            <w:r w:rsidRPr="00FF1E77">
              <w:rPr>
                <w:rFonts w:ascii="Arial" w:hAnsi="Arial" w:cs="Arial"/>
              </w:rPr>
              <w:t>Title</w:t>
            </w:r>
          </w:p>
        </w:tc>
      </w:tr>
      <w:tr w:rsidR="001C1B0A" w:rsidRPr="00FF1E77" w14:paraId="424654D5" w14:textId="77777777" w:rsidTr="001C1B0A">
        <w:trPr>
          <w:trHeight w:val="264"/>
          <w:jc w:val="center"/>
        </w:trPr>
        <w:tc>
          <w:tcPr>
            <w:tcW w:w="2301" w:type="dxa"/>
            <w:shd w:val="clear" w:color="auto" w:fill="auto"/>
          </w:tcPr>
          <w:p w14:paraId="54FFA33B" w14:textId="77777777" w:rsidR="001C1B0A" w:rsidRPr="00FF1E77" w:rsidRDefault="001C1B0A" w:rsidP="00C5449A">
            <w:pPr>
              <w:pStyle w:val="NormalWeb"/>
              <w:ind w:right="-591"/>
              <w:rPr>
                <w:rFonts w:ascii="Arial" w:hAnsi="Arial" w:cs="Arial"/>
              </w:rPr>
            </w:pPr>
            <w:r w:rsidRPr="00FF1E77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>43A</w:t>
            </w:r>
          </w:p>
        </w:tc>
        <w:tc>
          <w:tcPr>
            <w:tcW w:w="7754" w:type="dxa"/>
            <w:shd w:val="clear" w:color="auto" w:fill="auto"/>
          </w:tcPr>
          <w:p w14:paraId="6E25FC20" w14:textId="77777777" w:rsidR="001C1B0A" w:rsidRPr="00FF1E77" w:rsidRDefault="001C1B0A" w:rsidP="00C5449A">
            <w:pPr>
              <w:pStyle w:val="NormalWeb"/>
              <w:ind w:right="-59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Electric Vehicle Display Requirements</w:t>
            </w:r>
          </w:p>
        </w:tc>
      </w:tr>
      <w:tr w:rsidR="001C1B0A" w:rsidRPr="00FF1E77" w14:paraId="54407485" w14:textId="77777777" w:rsidTr="001C1B0A">
        <w:trPr>
          <w:jc w:val="center"/>
        </w:trPr>
        <w:tc>
          <w:tcPr>
            <w:tcW w:w="2301" w:type="dxa"/>
            <w:shd w:val="clear" w:color="auto" w:fill="auto"/>
          </w:tcPr>
          <w:p w14:paraId="1F3136F0" w14:textId="77777777" w:rsidR="001C1B0A" w:rsidRPr="00FF1E77" w:rsidRDefault="001C1B0A" w:rsidP="00C5449A">
            <w:pPr>
              <w:pStyle w:val="NormalWeb"/>
              <w:ind w:right="-59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3.43B</w:t>
            </w:r>
          </w:p>
        </w:tc>
        <w:tc>
          <w:tcPr>
            <w:tcW w:w="7754" w:type="dxa"/>
            <w:shd w:val="clear" w:color="auto" w:fill="auto"/>
          </w:tcPr>
          <w:p w14:paraId="3E155A92" w14:textId="77777777" w:rsidR="001C1B0A" w:rsidRPr="00FF1E77" w:rsidRDefault="001C1B0A" w:rsidP="00C5449A">
            <w:pPr>
              <w:pStyle w:val="NormalWeb"/>
              <w:ind w:right="-59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Charging of Small Electrical Devices</w:t>
            </w:r>
          </w:p>
        </w:tc>
      </w:tr>
      <w:tr w:rsidR="001C1B0A" w:rsidRPr="00FF1E77" w14:paraId="6A5A18AD" w14:textId="77777777" w:rsidTr="001C1B0A">
        <w:trPr>
          <w:jc w:val="center"/>
        </w:trPr>
        <w:tc>
          <w:tcPr>
            <w:tcW w:w="2301" w:type="dxa"/>
            <w:shd w:val="clear" w:color="auto" w:fill="auto"/>
          </w:tcPr>
          <w:p w14:paraId="47C2F838" w14:textId="77777777" w:rsidR="001C1B0A" w:rsidRPr="00FF1E77" w:rsidRDefault="001C1B0A" w:rsidP="00C5449A">
            <w:pPr>
              <w:pStyle w:val="NormalWeb"/>
              <w:ind w:right="-59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3.43C</w:t>
            </w:r>
          </w:p>
        </w:tc>
        <w:tc>
          <w:tcPr>
            <w:tcW w:w="7754" w:type="dxa"/>
            <w:shd w:val="clear" w:color="auto" w:fill="auto"/>
          </w:tcPr>
          <w:p w14:paraId="1DB95762" w14:textId="77777777" w:rsidR="001C1B0A" w:rsidRPr="00FF1E77" w:rsidRDefault="001C1B0A" w:rsidP="00C5449A">
            <w:pPr>
              <w:pStyle w:val="NormalWeb"/>
              <w:spacing w:before="0" w:beforeAutospacing="0"/>
              <w:ind w:right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NEC Group Electrical Vehicles (Cars) Exhibitor/Organiser Guidance</w:t>
            </w:r>
          </w:p>
        </w:tc>
      </w:tr>
      <w:tr w:rsidR="001C1B0A" w:rsidRPr="00FF1E77" w14:paraId="25BE09FA" w14:textId="77777777" w:rsidTr="001C1B0A">
        <w:trPr>
          <w:jc w:val="center"/>
        </w:trPr>
        <w:tc>
          <w:tcPr>
            <w:tcW w:w="2301" w:type="dxa"/>
            <w:shd w:val="clear" w:color="auto" w:fill="auto"/>
          </w:tcPr>
          <w:p w14:paraId="1D718907" w14:textId="77777777" w:rsidR="001C1B0A" w:rsidRDefault="001C1B0A" w:rsidP="00C5449A">
            <w:pPr>
              <w:pStyle w:val="NormalWeb"/>
              <w:ind w:right="-59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3.43D</w:t>
            </w:r>
          </w:p>
        </w:tc>
        <w:tc>
          <w:tcPr>
            <w:tcW w:w="7754" w:type="dxa"/>
            <w:shd w:val="clear" w:color="auto" w:fill="auto"/>
          </w:tcPr>
          <w:p w14:paraId="27A2A5C4" w14:textId="77777777" w:rsidR="001C1B0A" w:rsidRDefault="001C1B0A" w:rsidP="00C5449A">
            <w:pPr>
              <w:pStyle w:val="NormalWeb"/>
              <w:ind w:right="-591"/>
              <w:rPr>
                <w:rFonts w:ascii="Arial" w:hAnsi="Arial" w:cs="Arial"/>
              </w:rPr>
            </w:pPr>
            <w:r w:rsidRPr="32AEFFE3">
              <w:rPr>
                <w:rFonts w:ascii="Arial" w:hAnsi="Arial" w:cs="Arial"/>
              </w:rPr>
              <w:t xml:space="preserve">NEC </w:t>
            </w:r>
            <w:r>
              <w:rPr>
                <w:rFonts w:ascii="Arial" w:hAnsi="Arial" w:cs="Arial"/>
              </w:rPr>
              <w:t>Group</w:t>
            </w:r>
            <w:r w:rsidRPr="32AEFFE3">
              <w:rPr>
                <w:rFonts w:ascii="Arial" w:hAnsi="Arial" w:cs="Arial"/>
              </w:rPr>
              <w:t xml:space="preserve"> Electrical Bike (Motorbikes/Scooters/eBikes) Exhibitor/Organiser Guidance  </w:t>
            </w:r>
          </w:p>
        </w:tc>
      </w:tr>
      <w:tr w:rsidR="001C1B0A" w:rsidRPr="00FF1E77" w14:paraId="4B378F08" w14:textId="77777777" w:rsidTr="001C1B0A">
        <w:trPr>
          <w:jc w:val="center"/>
        </w:trPr>
        <w:tc>
          <w:tcPr>
            <w:tcW w:w="2301" w:type="dxa"/>
            <w:shd w:val="clear" w:color="auto" w:fill="auto"/>
          </w:tcPr>
          <w:p w14:paraId="06917106" w14:textId="77777777" w:rsidR="001C1B0A" w:rsidRDefault="001C1B0A" w:rsidP="00C5449A">
            <w:pPr>
              <w:pStyle w:val="NormalWeb"/>
              <w:ind w:right="-59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3.43E</w:t>
            </w:r>
          </w:p>
        </w:tc>
        <w:tc>
          <w:tcPr>
            <w:tcW w:w="7754" w:type="dxa"/>
            <w:shd w:val="clear" w:color="auto" w:fill="auto"/>
          </w:tcPr>
          <w:p w14:paraId="14A9A54F" w14:textId="77777777" w:rsidR="001C1B0A" w:rsidRDefault="001C1B0A" w:rsidP="00C5449A">
            <w:pPr>
              <w:pStyle w:val="NormalWeb"/>
              <w:ind w:right="-591"/>
              <w:rPr>
                <w:rFonts w:ascii="Arial" w:hAnsi="Arial" w:cs="Arial"/>
              </w:rPr>
            </w:pPr>
            <w:r w:rsidRPr="7ED2F0C6">
              <w:rPr>
                <w:rFonts w:ascii="Arial" w:hAnsi="Arial" w:cs="Arial"/>
              </w:rPr>
              <w:t>Lithium Ion Batteries not in Vehicles</w:t>
            </w:r>
          </w:p>
        </w:tc>
      </w:tr>
      <w:tr w:rsidR="001C1B0A" w:rsidRPr="00FF1E77" w14:paraId="3293D137" w14:textId="77777777" w:rsidTr="001C1B0A">
        <w:trPr>
          <w:jc w:val="center"/>
        </w:trPr>
        <w:tc>
          <w:tcPr>
            <w:tcW w:w="2301" w:type="dxa"/>
            <w:shd w:val="clear" w:color="auto" w:fill="auto"/>
          </w:tcPr>
          <w:p w14:paraId="2D76FCC0" w14:textId="77777777" w:rsidR="001C1B0A" w:rsidRDefault="001C1B0A" w:rsidP="00C5449A">
            <w:pPr>
              <w:pStyle w:val="NormalWeb"/>
              <w:ind w:right="-59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3.43F</w:t>
            </w:r>
          </w:p>
        </w:tc>
        <w:tc>
          <w:tcPr>
            <w:tcW w:w="7754" w:type="dxa"/>
            <w:shd w:val="clear" w:color="auto" w:fill="auto"/>
          </w:tcPr>
          <w:p w14:paraId="48CB193B" w14:textId="77777777" w:rsidR="001C1B0A" w:rsidRDefault="001C1B0A" w:rsidP="00C5449A">
            <w:pPr>
              <w:pStyle w:val="NormalWeb"/>
              <w:ind w:right="-591"/>
              <w:rPr>
                <w:rFonts w:ascii="Arial" w:hAnsi="Arial" w:cs="Arial"/>
              </w:rPr>
            </w:pPr>
            <w:r w:rsidRPr="7ED2F0C6">
              <w:rPr>
                <w:rFonts w:ascii="Arial" w:hAnsi="Arial" w:cs="Arial"/>
              </w:rPr>
              <w:t>Alternative Sources of Power</w:t>
            </w:r>
          </w:p>
        </w:tc>
      </w:tr>
      <w:tr w:rsidR="001C1B0A" w14:paraId="5B2E88A5" w14:textId="77777777" w:rsidTr="001C1B0A">
        <w:trPr>
          <w:trHeight w:val="300"/>
          <w:jc w:val="center"/>
        </w:trPr>
        <w:tc>
          <w:tcPr>
            <w:tcW w:w="2306" w:type="dxa"/>
            <w:shd w:val="clear" w:color="auto" w:fill="auto"/>
          </w:tcPr>
          <w:p w14:paraId="6BCDEA38" w14:textId="77777777" w:rsidR="001C1B0A" w:rsidRDefault="001C1B0A" w:rsidP="00C5449A">
            <w:pPr>
              <w:pStyle w:val="NormalWeb"/>
              <w:rPr>
                <w:rFonts w:ascii="Arial" w:hAnsi="Arial" w:cs="Arial"/>
              </w:rPr>
            </w:pPr>
            <w:r w:rsidRPr="7ED2F0C6">
              <w:rPr>
                <w:rFonts w:ascii="Arial" w:hAnsi="Arial" w:cs="Arial"/>
              </w:rPr>
              <w:t>3.05U</w:t>
            </w:r>
          </w:p>
        </w:tc>
        <w:tc>
          <w:tcPr>
            <w:tcW w:w="7754" w:type="dxa"/>
            <w:shd w:val="clear" w:color="auto" w:fill="auto"/>
          </w:tcPr>
          <w:p w14:paraId="559F4BDF" w14:textId="77777777" w:rsidR="001C1B0A" w:rsidRDefault="001C1B0A" w:rsidP="00C5449A">
            <w:pPr>
              <w:pStyle w:val="NormalWeb"/>
              <w:rPr>
                <w:rFonts w:ascii="Arial" w:hAnsi="Arial" w:cs="Arial"/>
              </w:rPr>
            </w:pPr>
            <w:r w:rsidRPr="7ED2F0C6">
              <w:rPr>
                <w:rFonts w:ascii="Arial" w:hAnsi="Arial" w:cs="Arial"/>
              </w:rPr>
              <w:t>Fire SOP – SSoW – Selling of Space in ICC Mall</w:t>
            </w:r>
          </w:p>
        </w:tc>
      </w:tr>
      <w:tr w:rsidR="001C1B0A" w:rsidRPr="00FF1E77" w14:paraId="2CDA2BD6" w14:textId="77777777" w:rsidTr="001C1B0A">
        <w:trPr>
          <w:jc w:val="center"/>
        </w:trPr>
        <w:tc>
          <w:tcPr>
            <w:tcW w:w="2301" w:type="dxa"/>
            <w:shd w:val="clear" w:color="auto" w:fill="auto"/>
          </w:tcPr>
          <w:p w14:paraId="233D0B98" w14:textId="77777777" w:rsidR="001C1B0A" w:rsidRDefault="001C1B0A" w:rsidP="00C5449A">
            <w:pPr>
              <w:pStyle w:val="NormalWeb"/>
              <w:ind w:right="-591"/>
              <w:rPr>
                <w:rFonts w:ascii="Arial" w:hAnsi="Arial" w:cs="Arial"/>
              </w:rPr>
            </w:pPr>
          </w:p>
        </w:tc>
        <w:tc>
          <w:tcPr>
            <w:tcW w:w="7754" w:type="dxa"/>
            <w:shd w:val="clear" w:color="auto" w:fill="auto"/>
          </w:tcPr>
          <w:p w14:paraId="77F27E0A" w14:textId="77777777" w:rsidR="001C1B0A" w:rsidRDefault="00D96D00" w:rsidP="00C5449A">
            <w:pPr>
              <w:pStyle w:val="NormalWeb"/>
              <w:ind w:right="-591"/>
              <w:rPr>
                <w:rFonts w:ascii="Arial" w:hAnsi="Arial" w:cs="Arial"/>
              </w:rPr>
            </w:pPr>
            <w:hyperlink r:id="rId11" w:history="1">
              <w:r w:rsidR="001C1B0A" w:rsidRPr="00882D3C">
                <w:rPr>
                  <w:rStyle w:val="Hyperlink"/>
                  <w:rFonts w:ascii="Arial" w:hAnsi="Arial" w:cs="Arial"/>
                </w:rPr>
                <w:t>Tool Box Talk Lithium Ion Batteries</w:t>
              </w:r>
            </w:hyperlink>
            <w:r w:rsidR="001C1B0A">
              <w:rPr>
                <w:rFonts w:ascii="Arial" w:hAnsi="Arial" w:cs="Arial"/>
              </w:rPr>
              <w:t xml:space="preserve"> </w:t>
            </w:r>
          </w:p>
        </w:tc>
      </w:tr>
      <w:bookmarkEnd w:id="0"/>
    </w:tbl>
    <w:p w14:paraId="72C6AD67" w14:textId="77777777" w:rsidR="001C1B0A" w:rsidRDefault="001C1B0A" w:rsidP="005319AD">
      <w:pPr>
        <w:rPr>
          <w:b/>
          <w:bCs/>
        </w:rPr>
      </w:pPr>
    </w:p>
    <w:sectPr w:rsidR="001C1B0A" w:rsidSect="00DA2CF5">
      <w:headerReference w:type="default" r:id="rId12"/>
      <w:footerReference w:type="default" r:id="rId13"/>
      <w:pgSz w:w="11906" w:h="16838"/>
      <w:pgMar w:top="720" w:right="720" w:bottom="568" w:left="720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0D6D1" w14:textId="77777777" w:rsidR="00101E48" w:rsidRDefault="00101E48" w:rsidP="002A4695">
      <w:r>
        <w:separator/>
      </w:r>
    </w:p>
  </w:endnote>
  <w:endnote w:type="continuationSeparator" w:id="0">
    <w:p w14:paraId="47D6D6E9" w14:textId="77777777" w:rsidR="00101E48" w:rsidRDefault="00101E48" w:rsidP="002A4695">
      <w:r>
        <w:continuationSeparator/>
      </w:r>
    </w:p>
  </w:endnote>
  <w:endnote w:type="continuationNotice" w:id="1">
    <w:p w14:paraId="3F5D6ACE" w14:textId="77777777" w:rsidR="00101E48" w:rsidRDefault="00101E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B8AED" w14:textId="77777777" w:rsidR="00B16D6D" w:rsidRPr="009B2651" w:rsidRDefault="00B16D6D" w:rsidP="00B16D6D">
    <w:pPr>
      <w:pStyle w:val="Footer"/>
      <w:ind w:left="142"/>
      <w:rPr>
        <w:rFonts w:cs="Arial"/>
        <w:color w:val="808080"/>
      </w:rPr>
    </w:pPr>
    <w:r w:rsidRPr="009B2651">
      <w:rPr>
        <w:rFonts w:cs="Arial"/>
        <w:color w:val="808080"/>
      </w:rPr>
      <w:t>NEC Group: Safety Document</w:t>
    </w:r>
    <w:r w:rsidRPr="009B2651">
      <w:rPr>
        <w:rFonts w:cs="Arial"/>
        <w:color w:val="808080"/>
      </w:rPr>
      <w:tab/>
    </w:r>
    <w:r>
      <w:rPr>
        <w:rFonts w:cs="Arial"/>
        <w:color w:val="808080"/>
        <w:lang w:val="en-GB"/>
      </w:rPr>
      <w:t xml:space="preserve">                          </w:t>
    </w:r>
    <w:r w:rsidRPr="009B2651">
      <w:rPr>
        <w:rFonts w:cs="Arial"/>
        <w:color w:val="808080"/>
      </w:rPr>
      <w:t xml:space="preserve">Version Control in Place - </w:t>
    </w:r>
    <w:r w:rsidRPr="009B2651">
      <w:rPr>
        <w:rFonts w:cs="Arial"/>
        <w:color w:val="808080"/>
      </w:rPr>
      <w:tab/>
    </w:r>
    <w:r w:rsidRPr="009B2651">
      <w:rPr>
        <w:rFonts w:cs="Arial"/>
        <w:noProof/>
        <w:color w:val="808080"/>
      </w:rPr>
      <w:t xml:space="preserve"> </w:t>
    </w:r>
  </w:p>
  <w:p w14:paraId="712D6748" w14:textId="315D53E1" w:rsidR="00C0514F" w:rsidRDefault="00B16D6D" w:rsidP="00B16D6D">
    <w:pPr>
      <w:pStyle w:val="Footer"/>
      <w:tabs>
        <w:tab w:val="clear" w:pos="9026"/>
        <w:tab w:val="right" w:pos="10348"/>
      </w:tabs>
      <w:ind w:left="142"/>
      <w:rPr>
        <w:rFonts w:cs="Arial"/>
        <w:b/>
        <w:bCs/>
        <w:color w:val="808080"/>
      </w:rPr>
    </w:pPr>
    <w:r w:rsidRPr="009B2651">
      <w:rPr>
        <w:rFonts w:cs="Arial"/>
        <w:bCs/>
        <w:color w:val="808080"/>
      </w:rPr>
      <w:t>3.</w:t>
    </w:r>
    <w:r>
      <w:rPr>
        <w:rFonts w:cs="Arial"/>
        <w:bCs/>
        <w:color w:val="808080"/>
        <w:lang w:val="en-GB"/>
      </w:rPr>
      <w:t>43</w:t>
    </w:r>
    <w:r w:rsidR="00394A30">
      <w:rPr>
        <w:rFonts w:cs="Arial"/>
        <w:bCs/>
        <w:color w:val="808080"/>
        <w:lang w:val="en-GB"/>
      </w:rPr>
      <w:t>E</w:t>
    </w:r>
    <w:r w:rsidR="00715E13">
      <w:rPr>
        <w:rFonts w:cs="Arial"/>
        <w:bCs/>
        <w:color w:val="808080"/>
        <w:lang w:val="en-GB"/>
      </w:rPr>
      <w:t xml:space="preserve"> Batteries not in vehicles                               </w:t>
    </w:r>
    <w:r w:rsidRPr="009B2651">
      <w:rPr>
        <w:rFonts w:cs="Arial"/>
        <w:bCs/>
        <w:color w:val="808080"/>
      </w:rPr>
      <w:t>Invalid if Printed</w:t>
    </w:r>
    <w:r w:rsidRPr="009B2651">
      <w:rPr>
        <w:rFonts w:cs="Arial"/>
        <w:color w:val="808080"/>
      </w:rPr>
      <w:tab/>
    </w:r>
    <w:r>
      <w:rPr>
        <w:rFonts w:cs="Arial"/>
        <w:color w:val="808080"/>
        <w:lang w:val="en-GB"/>
      </w:rPr>
      <w:t xml:space="preserve">                             </w:t>
    </w:r>
    <w:r w:rsidRPr="009B2651">
      <w:rPr>
        <w:rFonts w:cs="Arial"/>
        <w:color w:val="808080"/>
      </w:rPr>
      <w:t xml:space="preserve">Page </w:t>
    </w:r>
    <w:r w:rsidRPr="009B2651">
      <w:rPr>
        <w:rFonts w:cs="Arial"/>
        <w:b/>
        <w:bCs/>
        <w:color w:val="808080"/>
      </w:rPr>
      <w:fldChar w:fldCharType="begin"/>
    </w:r>
    <w:r w:rsidRPr="009B2651">
      <w:rPr>
        <w:rFonts w:cs="Arial"/>
        <w:b/>
        <w:bCs/>
        <w:color w:val="808080"/>
      </w:rPr>
      <w:instrText xml:space="preserve"> PAGE </w:instrText>
    </w:r>
    <w:r w:rsidRPr="009B2651">
      <w:rPr>
        <w:rFonts w:cs="Arial"/>
        <w:b/>
        <w:bCs/>
        <w:color w:val="808080"/>
      </w:rPr>
      <w:fldChar w:fldCharType="separate"/>
    </w:r>
    <w:r>
      <w:rPr>
        <w:rFonts w:cs="Arial"/>
        <w:b/>
        <w:bCs/>
        <w:color w:val="808080"/>
      </w:rPr>
      <w:t>2</w:t>
    </w:r>
    <w:r w:rsidRPr="009B2651">
      <w:rPr>
        <w:rFonts w:cs="Arial"/>
        <w:b/>
        <w:bCs/>
        <w:color w:val="808080"/>
      </w:rPr>
      <w:fldChar w:fldCharType="end"/>
    </w:r>
    <w:r w:rsidRPr="009B2651">
      <w:rPr>
        <w:rFonts w:cs="Arial"/>
        <w:color w:val="808080"/>
      </w:rPr>
      <w:t xml:space="preserve"> of </w:t>
    </w:r>
    <w:r w:rsidRPr="009B2651">
      <w:rPr>
        <w:rFonts w:cs="Arial"/>
        <w:b/>
        <w:bCs/>
        <w:color w:val="808080"/>
      </w:rPr>
      <w:fldChar w:fldCharType="begin"/>
    </w:r>
    <w:r w:rsidRPr="009B2651">
      <w:rPr>
        <w:rFonts w:cs="Arial"/>
        <w:b/>
        <w:bCs/>
        <w:color w:val="808080"/>
      </w:rPr>
      <w:instrText xml:space="preserve"> NUMPAGES  </w:instrText>
    </w:r>
    <w:r w:rsidRPr="009B2651">
      <w:rPr>
        <w:rFonts w:cs="Arial"/>
        <w:b/>
        <w:bCs/>
        <w:color w:val="808080"/>
      </w:rPr>
      <w:fldChar w:fldCharType="separate"/>
    </w:r>
    <w:r>
      <w:rPr>
        <w:rFonts w:cs="Arial"/>
        <w:b/>
        <w:bCs/>
        <w:color w:val="808080"/>
      </w:rPr>
      <w:t>5</w:t>
    </w:r>
    <w:r w:rsidRPr="009B2651">
      <w:rPr>
        <w:rFonts w:cs="Arial"/>
        <w:b/>
        <w:bCs/>
        <w:color w:val="808080"/>
      </w:rPr>
      <w:fldChar w:fldCharType="end"/>
    </w:r>
  </w:p>
  <w:p w14:paraId="75E03668" w14:textId="384620F1" w:rsidR="005E7168" w:rsidRPr="005E7168" w:rsidRDefault="005E7168" w:rsidP="00B16D6D">
    <w:pPr>
      <w:pStyle w:val="Footer"/>
      <w:tabs>
        <w:tab w:val="clear" w:pos="9026"/>
        <w:tab w:val="right" w:pos="10348"/>
      </w:tabs>
      <w:ind w:left="142"/>
      <w:rPr>
        <w:rFonts w:cs="Arial"/>
        <w:bCs/>
        <w:color w:val="80808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2CCA1" w14:textId="77777777" w:rsidR="00101E48" w:rsidRDefault="00101E48" w:rsidP="002A4695">
      <w:r>
        <w:separator/>
      </w:r>
    </w:p>
  </w:footnote>
  <w:footnote w:type="continuationSeparator" w:id="0">
    <w:p w14:paraId="647B314F" w14:textId="77777777" w:rsidR="00101E48" w:rsidRDefault="00101E48" w:rsidP="002A4695">
      <w:r>
        <w:continuationSeparator/>
      </w:r>
    </w:p>
  </w:footnote>
  <w:footnote w:type="continuationNotice" w:id="1">
    <w:p w14:paraId="056D59CF" w14:textId="77777777" w:rsidR="00101E48" w:rsidRDefault="00101E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8" w:type="dxa"/>
      <w:tblLook w:val="04A0" w:firstRow="1" w:lastRow="0" w:firstColumn="1" w:lastColumn="0" w:noHBand="0" w:noVBand="1"/>
    </w:tblPr>
    <w:tblGrid>
      <w:gridCol w:w="5264"/>
      <w:gridCol w:w="5334"/>
    </w:tblGrid>
    <w:tr w:rsidR="005E7168" w:rsidRPr="00FF1E77" w14:paraId="3A4739F2" w14:textId="77777777" w:rsidTr="005E7168">
      <w:trPr>
        <w:cantSplit/>
        <w:trHeight w:val="335"/>
      </w:trPr>
      <w:tc>
        <w:tcPr>
          <w:tcW w:w="10598" w:type="dxa"/>
          <w:gridSpan w:val="2"/>
          <w:vAlign w:val="center"/>
          <w:hideMark/>
        </w:tcPr>
        <w:p w14:paraId="4E1FF001" w14:textId="09D9BC2A" w:rsidR="005E7168" w:rsidRPr="00FF1E77" w:rsidRDefault="00D96D00" w:rsidP="005E7168">
          <w:pPr>
            <w:pStyle w:val="Header"/>
            <w:spacing w:line="256" w:lineRule="auto"/>
            <w:rPr>
              <w:rFonts w:cs="Arial"/>
              <w:b/>
              <w:bCs/>
              <w:sz w:val="12"/>
            </w:rPr>
          </w:pPr>
          <w:r>
            <w:rPr>
              <w:noProof/>
              <w:sz w:val="22"/>
            </w:rPr>
            <w:drawing>
              <wp:anchor distT="0" distB="0" distL="114300" distR="114300" simplePos="0" relativeHeight="251657728" behindDoc="0" locked="0" layoutInCell="1" allowOverlap="1" wp14:anchorId="3487D300" wp14:editId="7D539074">
                <wp:simplePos x="0" y="0"/>
                <wp:positionH relativeFrom="margin">
                  <wp:posOffset>5445760</wp:posOffset>
                </wp:positionH>
                <wp:positionV relativeFrom="paragraph">
                  <wp:posOffset>-6350</wp:posOffset>
                </wp:positionV>
                <wp:extent cx="1153795" cy="365760"/>
                <wp:effectExtent l="0" t="0" r="0" b="0"/>
                <wp:wrapSquare wrapText="bothSides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3795" cy="365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E7168" w:rsidRPr="00FF1E77">
            <w:rPr>
              <w:rFonts w:cs="Arial"/>
              <w:b/>
              <w:bCs/>
              <w:sz w:val="36"/>
            </w:rPr>
            <w:t>Safety Operational Policy</w:t>
          </w:r>
        </w:p>
      </w:tc>
    </w:tr>
    <w:tr w:rsidR="005E7168" w:rsidRPr="00FF1E77" w14:paraId="20DD8F7E" w14:textId="77777777" w:rsidTr="005E7168">
      <w:trPr>
        <w:cantSplit/>
        <w:trHeight w:val="335"/>
      </w:trPr>
      <w:tc>
        <w:tcPr>
          <w:tcW w:w="10598" w:type="dxa"/>
          <w:gridSpan w:val="2"/>
          <w:vAlign w:val="center"/>
          <w:hideMark/>
        </w:tcPr>
        <w:p w14:paraId="5986BBC0" w14:textId="77777777" w:rsidR="005E7168" w:rsidRPr="00FF1E77" w:rsidRDefault="005E7168" w:rsidP="005E7168">
          <w:pPr>
            <w:pStyle w:val="Header"/>
            <w:spacing w:line="256" w:lineRule="auto"/>
            <w:rPr>
              <w:rFonts w:cs="Arial"/>
              <w:b/>
              <w:bCs/>
            </w:rPr>
          </w:pPr>
          <w:r w:rsidRPr="00FF1E77">
            <w:rPr>
              <w:rFonts w:cs="Arial"/>
              <w:b/>
              <w:bCs/>
            </w:rPr>
            <w:t>3.</w:t>
          </w:r>
          <w:r>
            <w:rPr>
              <w:rFonts w:cs="Arial"/>
              <w:b/>
              <w:bCs/>
            </w:rPr>
            <w:t>43</w:t>
          </w:r>
          <w:r w:rsidRPr="00FF1E77">
            <w:rPr>
              <w:rFonts w:cs="Arial"/>
              <w:b/>
              <w:bCs/>
            </w:rPr>
            <w:t xml:space="preserve"> </w:t>
          </w:r>
          <w:r>
            <w:rPr>
              <w:rFonts w:cs="Arial"/>
              <w:b/>
              <w:bCs/>
            </w:rPr>
            <w:t>– Lithium Ion Rechargeable Batteries</w:t>
          </w:r>
          <w:r w:rsidRPr="00FF1E77">
            <w:rPr>
              <w:rFonts w:cs="Arial"/>
              <w:b/>
              <w:bCs/>
            </w:rPr>
            <w:t xml:space="preserve"> </w:t>
          </w:r>
        </w:p>
      </w:tc>
    </w:tr>
    <w:tr w:rsidR="005E7168" w:rsidRPr="00FF1E77" w14:paraId="53EFBF0E" w14:textId="77777777" w:rsidTr="005E7168">
      <w:trPr>
        <w:trHeight w:val="335"/>
      </w:trPr>
      <w:tc>
        <w:tcPr>
          <w:tcW w:w="5264" w:type="dxa"/>
          <w:vAlign w:val="center"/>
          <w:hideMark/>
        </w:tcPr>
        <w:p w14:paraId="6ED686F9" w14:textId="77777777" w:rsidR="005E7168" w:rsidRPr="00FF1E77" w:rsidRDefault="005E7168" w:rsidP="005E7168">
          <w:pPr>
            <w:pStyle w:val="Header"/>
            <w:spacing w:line="256" w:lineRule="auto"/>
            <w:rPr>
              <w:rFonts w:cs="Arial"/>
            </w:rPr>
          </w:pPr>
          <w:r w:rsidRPr="00FF1E77">
            <w:rPr>
              <w:rFonts w:cs="Arial"/>
            </w:rPr>
            <w:t xml:space="preserve">Version No: </w:t>
          </w:r>
          <w:r>
            <w:rPr>
              <w:rFonts w:cs="Arial"/>
            </w:rPr>
            <w:t>2.00</w:t>
          </w:r>
        </w:p>
      </w:tc>
      <w:tc>
        <w:tcPr>
          <w:tcW w:w="5334" w:type="dxa"/>
          <w:vAlign w:val="center"/>
        </w:tcPr>
        <w:p w14:paraId="3704F31F" w14:textId="77777777" w:rsidR="005E7168" w:rsidRPr="00FF1E77" w:rsidRDefault="005E7168" w:rsidP="005E7168">
          <w:pPr>
            <w:pStyle w:val="Header"/>
            <w:spacing w:line="256" w:lineRule="auto"/>
            <w:jc w:val="right"/>
            <w:rPr>
              <w:rFonts w:cs="Arial"/>
              <w:bCs/>
              <w:strike/>
            </w:rPr>
          </w:pPr>
        </w:p>
      </w:tc>
    </w:tr>
    <w:tr w:rsidR="005E7168" w:rsidRPr="00FF1E77" w14:paraId="1608F70D" w14:textId="77777777" w:rsidTr="0041031F">
      <w:trPr>
        <w:trHeight w:val="335"/>
      </w:trPr>
      <w:tc>
        <w:tcPr>
          <w:tcW w:w="5264" w:type="dxa"/>
          <w:tcBorders>
            <w:top w:val="nil"/>
            <w:left w:val="nil"/>
            <w:bottom w:val="single" w:sz="18" w:space="0" w:color="7030A0"/>
            <w:right w:val="nil"/>
          </w:tcBorders>
          <w:vAlign w:val="center"/>
          <w:hideMark/>
        </w:tcPr>
        <w:p w14:paraId="2F817146" w14:textId="3D7F0619" w:rsidR="005E7168" w:rsidRPr="00E2397A" w:rsidRDefault="005E7168" w:rsidP="005E7168">
          <w:pPr>
            <w:pStyle w:val="Header"/>
            <w:spacing w:line="256" w:lineRule="auto"/>
            <w:rPr>
              <w:rFonts w:cs="Arial"/>
              <w:bCs/>
              <w:lang w:val="en-GB"/>
            </w:rPr>
          </w:pPr>
          <w:r w:rsidRPr="00FF1E77">
            <w:rPr>
              <w:rFonts w:cs="Arial"/>
            </w:rPr>
            <w:t>Last updated:</w:t>
          </w:r>
          <w:r w:rsidR="00E2397A">
            <w:rPr>
              <w:rFonts w:cs="Arial"/>
              <w:lang w:val="en-GB"/>
            </w:rPr>
            <w:t xml:space="preserve"> </w:t>
          </w:r>
          <w:r w:rsidR="0041031F">
            <w:rPr>
              <w:rFonts w:cs="Arial"/>
              <w:lang w:val="en-GB"/>
            </w:rPr>
            <w:t>25</w:t>
          </w:r>
          <w:r w:rsidR="0041031F" w:rsidRPr="0041031F">
            <w:rPr>
              <w:rFonts w:cs="Arial"/>
              <w:vertAlign w:val="superscript"/>
              <w:lang w:val="en-GB"/>
            </w:rPr>
            <w:t>th</w:t>
          </w:r>
          <w:r w:rsidR="0041031F">
            <w:rPr>
              <w:rFonts w:cs="Arial"/>
              <w:lang w:val="en-GB"/>
            </w:rPr>
            <w:t xml:space="preserve"> March 2025</w:t>
          </w:r>
        </w:p>
      </w:tc>
      <w:tc>
        <w:tcPr>
          <w:tcW w:w="5334" w:type="dxa"/>
          <w:tcBorders>
            <w:top w:val="nil"/>
            <w:left w:val="nil"/>
            <w:bottom w:val="single" w:sz="18" w:space="0" w:color="7030A0"/>
            <w:right w:val="nil"/>
          </w:tcBorders>
          <w:vAlign w:val="center"/>
          <w:hideMark/>
        </w:tcPr>
        <w:p w14:paraId="13E36792" w14:textId="40C6C35D" w:rsidR="005E7168" w:rsidRPr="005E7168" w:rsidRDefault="005E7168" w:rsidP="005E7168">
          <w:pPr>
            <w:pStyle w:val="Header"/>
            <w:spacing w:line="256" w:lineRule="auto"/>
            <w:jc w:val="right"/>
            <w:rPr>
              <w:rFonts w:cs="Arial"/>
              <w:lang w:val="en-GB"/>
            </w:rPr>
          </w:pPr>
          <w:r w:rsidRPr="00FF1E77">
            <w:rPr>
              <w:rFonts w:cs="Arial"/>
            </w:rPr>
            <w:t xml:space="preserve">Author: </w:t>
          </w:r>
          <w:r w:rsidR="0041031F">
            <w:rPr>
              <w:rFonts w:cs="Arial"/>
              <w:lang w:val="en-GB"/>
            </w:rPr>
            <w:t>Sarah Kelly</w:t>
          </w:r>
        </w:p>
      </w:tc>
    </w:tr>
    <w:tr w:rsidR="005E7168" w:rsidRPr="00FF1E77" w14:paraId="51F0E1DE" w14:textId="77777777" w:rsidTr="0041031F">
      <w:trPr>
        <w:trHeight w:val="335"/>
      </w:trPr>
      <w:tc>
        <w:tcPr>
          <w:tcW w:w="10598" w:type="dxa"/>
          <w:gridSpan w:val="2"/>
          <w:tcBorders>
            <w:top w:val="single" w:sz="12" w:space="0" w:color="70AD47"/>
            <w:left w:val="nil"/>
            <w:bottom w:val="single" w:sz="18" w:space="0" w:color="7030A0"/>
            <w:right w:val="nil"/>
          </w:tcBorders>
          <w:vAlign w:val="center"/>
          <w:hideMark/>
        </w:tcPr>
        <w:p w14:paraId="70FA6B3C" w14:textId="77777777" w:rsidR="005E7168" w:rsidRPr="00FF1E77" w:rsidRDefault="005E7168" w:rsidP="005E7168">
          <w:pPr>
            <w:pStyle w:val="Header"/>
            <w:spacing w:line="256" w:lineRule="auto"/>
            <w:jc w:val="center"/>
            <w:rPr>
              <w:rFonts w:cs="Arial"/>
              <w:b/>
              <w:bCs/>
              <w:sz w:val="16"/>
            </w:rPr>
          </w:pPr>
          <w:r w:rsidRPr="00290827">
            <w:rPr>
              <w:rFonts w:cs="Arial"/>
              <w:b/>
              <w:bCs/>
            </w:rPr>
            <w:t>12 Month Review Date</w:t>
          </w:r>
          <w:r w:rsidRPr="00FF1E77">
            <w:rPr>
              <w:rFonts w:cs="Arial"/>
            </w:rPr>
            <w:t xml:space="preserve">         24 Month Review Date          36 Month Review Date</w:t>
          </w:r>
        </w:p>
      </w:tc>
    </w:tr>
    <w:tr w:rsidR="005E7168" w:rsidRPr="00FF1E77" w14:paraId="61FBF4C4" w14:textId="77777777" w:rsidTr="0041031F">
      <w:trPr>
        <w:trHeight w:val="335"/>
      </w:trPr>
      <w:tc>
        <w:tcPr>
          <w:tcW w:w="10598" w:type="dxa"/>
          <w:gridSpan w:val="2"/>
          <w:tcBorders>
            <w:top w:val="single" w:sz="18" w:space="0" w:color="7030A0"/>
            <w:left w:val="nil"/>
            <w:bottom w:val="single" w:sz="18" w:space="0" w:color="7030A0"/>
            <w:right w:val="nil"/>
          </w:tcBorders>
          <w:vAlign w:val="center"/>
        </w:tcPr>
        <w:p w14:paraId="2115F245" w14:textId="04733471" w:rsidR="005E7168" w:rsidRPr="00715E13" w:rsidRDefault="005E7168" w:rsidP="005E7168">
          <w:pPr>
            <w:pStyle w:val="Header"/>
            <w:spacing w:line="256" w:lineRule="auto"/>
            <w:rPr>
              <w:rFonts w:cs="Arial"/>
              <w:lang w:val="en-GB"/>
            </w:rPr>
          </w:pPr>
          <w:r w:rsidRPr="00FF1E77">
            <w:rPr>
              <w:rFonts w:cs="Arial"/>
            </w:rPr>
            <w:t xml:space="preserve">Appendix </w:t>
          </w:r>
          <w:r w:rsidR="00394A30">
            <w:rPr>
              <w:rFonts w:cs="Arial"/>
              <w:lang w:val="en-GB"/>
            </w:rPr>
            <w:t>E</w:t>
          </w:r>
          <w:r w:rsidRPr="00FF1E77">
            <w:rPr>
              <w:rFonts w:cs="Arial"/>
            </w:rPr>
            <w:t xml:space="preserve">; </w:t>
          </w:r>
          <w:r w:rsidR="00715E13">
            <w:rPr>
              <w:rFonts w:cs="Arial"/>
              <w:lang w:val="en-GB"/>
            </w:rPr>
            <w:t>Lithium Ion Batteries Not in Vehicles</w:t>
          </w:r>
        </w:p>
      </w:tc>
    </w:tr>
  </w:tbl>
  <w:p w14:paraId="19E9E9C8" w14:textId="77777777" w:rsidR="00C0514F" w:rsidRPr="001D386C" w:rsidRDefault="00C0514F" w:rsidP="001D386C">
    <w:pPr>
      <w:pStyle w:val="Header"/>
      <w:rPr>
        <w:sz w:val="1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EC29C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62AD0"/>
    <w:multiLevelType w:val="multilevel"/>
    <w:tmpl w:val="712C3BF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6371316"/>
    <w:multiLevelType w:val="hybridMultilevel"/>
    <w:tmpl w:val="DDA6C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866BC"/>
    <w:multiLevelType w:val="hybridMultilevel"/>
    <w:tmpl w:val="10FE3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67D7D"/>
    <w:multiLevelType w:val="hybridMultilevel"/>
    <w:tmpl w:val="0D98D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754D0"/>
    <w:multiLevelType w:val="hybridMultilevel"/>
    <w:tmpl w:val="CEF084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C655C"/>
    <w:multiLevelType w:val="hybridMultilevel"/>
    <w:tmpl w:val="55B2EB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42530"/>
    <w:multiLevelType w:val="hybridMultilevel"/>
    <w:tmpl w:val="BAD04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25B27"/>
    <w:multiLevelType w:val="hybridMultilevel"/>
    <w:tmpl w:val="43E294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65524D"/>
    <w:multiLevelType w:val="hybridMultilevel"/>
    <w:tmpl w:val="44E8E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E6CD9"/>
    <w:multiLevelType w:val="hybridMultilevel"/>
    <w:tmpl w:val="1D989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344FA"/>
    <w:multiLevelType w:val="multilevel"/>
    <w:tmpl w:val="36164A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12" w15:restartNumberingAfterBreak="0">
    <w:nsid w:val="32396A06"/>
    <w:multiLevelType w:val="multilevel"/>
    <w:tmpl w:val="573AE81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13" w15:restartNumberingAfterBreak="0">
    <w:nsid w:val="43E32323"/>
    <w:multiLevelType w:val="hybridMultilevel"/>
    <w:tmpl w:val="6494F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9063E"/>
    <w:multiLevelType w:val="hybridMultilevel"/>
    <w:tmpl w:val="35B4A80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C82436D"/>
    <w:multiLevelType w:val="hybridMultilevel"/>
    <w:tmpl w:val="CB3A05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90D64"/>
    <w:multiLevelType w:val="hybridMultilevel"/>
    <w:tmpl w:val="DE062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46B7F"/>
    <w:multiLevelType w:val="hybridMultilevel"/>
    <w:tmpl w:val="4FCEE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14E1E"/>
    <w:multiLevelType w:val="hybridMultilevel"/>
    <w:tmpl w:val="2DF8E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651CC"/>
    <w:multiLevelType w:val="hybridMultilevel"/>
    <w:tmpl w:val="78C6D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076920">
    <w:abstractNumId w:val="11"/>
  </w:num>
  <w:num w:numId="2" w16cid:durableId="1778476942">
    <w:abstractNumId w:val="6"/>
  </w:num>
  <w:num w:numId="3" w16cid:durableId="636103552">
    <w:abstractNumId w:val="1"/>
  </w:num>
  <w:num w:numId="4" w16cid:durableId="169294415">
    <w:abstractNumId w:val="12"/>
  </w:num>
  <w:num w:numId="5" w16cid:durableId="834996704">
    <w:abstractNumId w:val="9"/>
  </w:num>
  <w:num w:numId="6" w16cid:durableId="777137709">
    <w:abstractNumId w:val="16"/>
  </w:num>
  <w:num w:numId="7" w16cid:durableId="1974558020">
    <w:abstractNumId w:val="13"/>
  </w:num>
  <w:num w:numId="8" w16cid:durableId="1518039520">
    <w:abstractNumId w:val="2"/>
  </w:num>
  <w:num w:numId="9" w16cid:durableId="1559127538">
    <w:abstractNumId w:val="3"/>
  </w:num>
  <w:num w:numId="10" w16cid:durableId="382406030">
    <w:abstractNumId w:val="10"/>
  </w:num>
  <w:num w:numId="11" w16cid:durableId="1085808385">
    <w:abstractNumId w:val="18"/>
  </w:num>
  <w:num w:numId="12" w16cid:durableId="1797405268">
    <w:abstractNumId w:val="0"/>
  </w:num>
  <w:num w:numId="13" w16cid:durableId="2115400952">
    <w:abstractNumId w:val="15"/>
  </w:num>
  <w:num w:numId="14" w16cid:durableId="501160744">
    <w:abstractNumId w:val="4"/>
  </w:num>
  <w:num w:numId="15" w16cid:durableId="658994701">
    <w:abstractNumId w:val="5"/>
  </w:num>
  <w:num w:numId="16" w16cid:durableId="350955936">
    <w:abstractNumId w:val="8"/>
  </w:num>
  <w:num w:numId="17" w16cid:durableId="1007368354">
    <w:abstractNumId w:val="14"/>
  </w:num>
  <w:num w:numId="18" w16cid:durableId="395907121">
    <w:abstractNumId w:val="19"/>
  </w:num>
  <w:num w:numId="19" w16cid:durableId="110638731">
    <w:abstractNumId w:val="7"/>
  </w:num>
  <w:num w:numId="20" w16cid:durableId="21412647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86"/>
    <w:rsid w:val="000038E1"/>
    <w:rsid w:val="00020C78"/>
    <w:rsid w:val="000220E3"/>
    <w:rsid w:val="00022F81"/>
    <w:rsid w:val="0003585A"/>
    <w:rsid w:val="00044EAB"/>
    <w:rsid w:val="000528C1"/>
    <w:rsid w:val="00055572"/>
    <w:rsid w:val="00061B88"/>
    <w:rsid w:val="0008080E"/>
    <w:rsid w:val="000A2BB8"/>
    <w:rsid w:val="000A3625"/>
    <w:rsid w:val="000A65DC"/>
    <w:rsid w:val="000B5386"/>
    <w:rsid w:val="000B6B8D"/>
    <w:rsid w:val="000C6C54"/>
    <w:rsid w:val="000D2523"/>
    <w:rsid w:val="000E6A02"/>
    <w:rsid w:val="000F1D8D"/>
    <w:rsid w:val="00101E48"/>
    <w:rsid w:val="00102BAF"/>
    <w:rsid w:val="00111F05"/>
    <w:rsid w:val="00112651"/>
    <w:rsid w:val="001159E0"/>
    <w:rsid w:val="001308C2"/>
    <w:rsid w:val="00141747"/>
    <w:rsid w:val="00163E3F"/>
    <w:rsid w:val="00170407"/>
    <w:rsid w:val="001809C2"/>
    <w:rsid w:val="00187052"/>
    <w:rsid w:val="001A7B3A"/>
    <w:rsid w:val="001C1B0A"/>
    <w:rsid w:val="001D386C"/>
    <w:rsid w:val="001D3F99"/>
    <w:rsid w:val="001E13BE"/>
    <w:rsid w:val="001E61E0"/>
    <w:rsid w:val="00206255"/>
    <w:rsid w:val="002114C6"/>
    <w:rsid w:val="00224FC5"/>
    <w:rsid w:val="00245478"/>
    <w:rsid w:val="00250DE4"/>
    <w:rsid w:val="00251040"/>
    <w:rsid w:val="00255FB8"/>
    <w:rsid w:val="00264030"/>
    <w:rsid w:val="00267252"/>
    <w:rsid w:val="002702FD"/>
    <w:rsid w:val="00271449"/>
    <w:rsid w:val="002813F3"/>
    <w:rsid w:val="0029379D"/>
    <w:rsid w:val="002A3B02"/>
    <w:rsid w:val="002A4695"/>
    <w:rsid w:val="002A5396"/>
    <w:rsid w:val="002C6440"/>
    <w:rsid w:val="002C7F68"/>
    <w:rsid w:val="002F5B0F"/>
    <w:rsid w:val="002F752E"/>
    <w:rsid w:val="00305C29"/>
    <w:rsid w:val="00312857"/>
    <w:rsid w:val="00316B25"/>
    <w:rsid w:val="0032313D"/>
    <w:rsid w:val="00332123"/>
    <w:rsid w:val="003440AD"/>
    <w:rsid w:val="003663F1"/>
    <w:rsid w:val="00370B55"/>
    <w:rsid w:val="003710AB"/>
    <w:rsid w:val="00371FB5"/>
    <w:rsid w:val="003778DF"/>
    <w:rsid w:val="00380574"/>
    <w:rsid w:val="00394A30"/>
    <w:rsid w:val="003A597F"/>
    <w:rsid w:val="003A60B2"/>
    <w:rsid w:val="003B0C8D"/>
    <w:rsid w:val="003B1C22"/>
    <w:rsid w:val="003B4553"/>
    <w:rsid w:val="003C0AD4"/>
    <w:rsid w:val="004015E0"/>
    <w:rsid w:val="0041031F"/>
    <w:rsid w:val="004329EE"/>
    <w:rsid w:val="004442AE"/>
    <w:rsid w:val="004444A0"/>
    <w:rsid w:val="00447F69"/>
    <w:rsid w:val="004523B7"/>
    <w:rsid w:val="00460C99"/>
    <w:rsid w:val="00461DA7"/>
    <w:rsid w:val="004621B6"/>
    <w:rsid w:val="0046793D"/>
    <w:rsid w:val="00470CCF"/>
    <w:rsid w:val="004723EC"/>
    <w:rsid w:val="00472844"/>
    <w:rsid w:val="004729A2"/>
    <w:rsid w:val="0048043F"/>
    <w:rsid w:val="004821DC"/>
    <w:rsid w:val="00495AA1"/>
    <w:rsid w:val="004C1404"/>
    <w:rsid w:val="004D56F9"/>
    <w:rsid w:val="004D5F21"/>
    <w:rsid w:val="004E2DB0"/>
    <w:rsid w:val="004E34A6"/>
    <w:rsid w:val="004F32C6"/>
    <w:rsid w:val="005000D9"/>
    <w:rsid w:val="00501B90"/>
    <w:rsid w:val="00503101"/>
    <w:rsid w:val="005051A6"/>
    <w:rsid w:val="00510A90"/>
    <w:rsid w:val="005127CC"/>
    <w:rsid w:val="00515517"/>
    <w:rsid w:val="00520BC8"/>
    <w:rsid w:val="005319AD"/>
    <w:rsid w:val="005340C1"/>
    <w:rsid w:val="0054015D"/>
    <w:rsid w:val="005449DB"/>
    <w:rsid w:val="005462FD"/>
    <w:rsid w:val="00556FC8"/>
    <w:rsid w:val="005617C8"/>
    <w:rsid w:val="005656D2"/>
    <w:rsid w:val="005824D0"/>
    <w:rsid w:val="00592F26"/>
    <w:rsid w:val="005A13A3"/>
    <w:rsid w:val="005A49F4"/>
    <w:rsid w:val="005B0D21"/>
    <w:rsid w:val="005B1468"/>
    <w:rsid w:val="005B248A"/>
    <w:rsid w:val="005C3F8E"/>
    <w:rsid w:val="005C5421"/>
    <w:rsid w:val="005C5F65"/>
    <w:rsid w:val="005D2DF2"/>
    <w:rsid w:val="005D4588"/>
    <w:rsid w:val="005D7A86"/>
    <w:rsid w:val="005E67F4"/>
    <w:rsid w:val="005E7168"/>
    <w:rsid w:val="00603500"/>
    <w:rsid w:val="00612926"/>
    <w:rsid w:val="00627D8A"/>
    <w:rsid w:val="0063022E"/>
    <w:rsid w:val="00634D93"/>
    <w:rsid w:val="00635865"/>
    <w:rsid w:val="006410F8"/>
    <w:rsid w:val="00644084"/>
    <w:rsid w:val="006457B8"/>
    <w:rsid w:val="0067257C"/>
    <w:rsid w:val="006734FD"/>
    <w:rsid w:val="00674E79"/>
    <w:rsid w:val="00676CBC"/>
    <w:rsid w:val="0068333D"/>
    <w:rsid w:val="00687998"/>
    <w:rsid w:val="00692814"/>
    <w:rsid w:val="006E09A1"/>
    <w:rsid w:val="006E2210"/>
    <w:rsid w:val="006E26EE"/>
    <w:rsid w:val="006F1BFA"/>
    <w:rsid w:val="006F6F21"/>
    <w:rsid w:val="00715E13"/>
    <w:rsid w:val="007165A1"/>
    <w:rsid w:val="00734B81"/>
    <w:rsid w:val="0074712F"/>
    <w:rsid w:val="00747697"/>
    <w:rsid w:val="0075420A"/>
    <w:rsid w:val="007813CA"/>
    <w:rsid w:val="007836E9"/>
    <w:rsid w:val="00785B6F"/>
    <w:rsid w:val="0079022A"/>
    <w:rsid w:val="00791E06"/>
    <w:rsid w:val="00797761"/>
    <w:rsid w:val="007A35C8"/>
    <w:rsid w:val="007A6DF1"/>
    <w:rsid w:val="007A7367"/>
    <w:rsid w:val="007C14A7"/>
    <w:rsid w:val="007D18B8"/>
    <w:rsid w:val="007D5D4F"/>
    <w:rsid w:val="007D7F54"/>
    <w:rsid w:val="007E2D4C"/>
    <w:rsid w:val="007E6740"/>
    <w:rsid w:val="007F2011"/>
    <w:rsid w:val="00810F53"/>
    <w:rsid w:val="008159E6"/>
    <w:rsid w:val="00817912"/>
    <w:rsid w:val="0082008B"/>
    <w:rsid w:val="00833314"/>
    <w:rsid w:val="008402CE"/>
    <w:rsid w:val="00850792"/>
    <w:rsid w:val="00853FD8"/>
    <w:rsid w:val="00856C2F"/>
    <w:rsid w:val="00856E2B"/>
    <w:rsid w:val="00862CA8"/>
    <w:rsid w:val="00865497"/>
    <w:rsid w:val="0087094C"/>
    <w:rsid w:val="0087214D"/>
    <w:rsid w:val="00873623"/>
    <w:rsid w:val="00874347"/>
    <w:rsid w:val="00877303"/>
    <w:rsid w:val="00883EBD"/>
    <w:rsid w:val="008B53EC"/>
    <w:rsid w:val="008D07FC"/>
    <w:rsid w:val="008E08DE"/>
    <w:rsid w:val="008F00D9"/>
    <w:rsid w:val="008F549E"/>
    <w:rsid w:val="0091247C"/>
    <w:rsid w:val="009208A3"/>
    <w:rsid w:val="00931765"/>
    <w:rsid w:val="009336FE"/>
    <w:rsid w:val="0093768B"/>
    <w:rsid w:val="009564EA"/>
    <w:rsid w:val="009641DF"/>
    <w:rsid w:val="0097083F"/>
    <w:rsid w:val="00971710"/>
    <w:rsid w:val="009741CB"/>
    <w:rsid w:val="0097792E"/>
    <w:rsid w:val="00977C30"/>
    <w:rsid w:val="009A3A97"/>
    <w:rsid w:val="009A7E08"/>
    <w:rsid w:val="009B3B7D"/>
    <w:rsid w:val="009B6B63"/>
    <w:rsid w:val="009C0C65"/>
    <w:rsid w:val="009C4B9D"/>
    <w:rsid w:val="009D3E1E"/>
    <w:rsid w:val="009E7BC9"/>
    <w:rsid w:val="009F3C1F"/>
    <w:rsid w:val="00A011FB"/>
    <w:rsid w:val="00A023A1"/>
    <w:rsid w:val="00A0572E"/>
    <w:rsid w:val="00A27AAD"/>
    <w:rsid w:val="00A3337D"/>
    <w:rsid w:val="00A34FEF"/>
    <w:rsid w:val="00A5497D"/>
    <w:rsid w:val="00A552C9"/>
    <w:rsid w:val="00A87991"/>
    <w:rsid w:val="00A92509"/>
    <w:rsid w:val="00A96C5C"/>
    <w:rsid w:val="00AA2A9A"/>
    <w:rsid w:val="00AA318C"/>
    <w:rsid w:val="00AB245B"/>
    <w:rsid w:val="00AB51E8"/>
    <w:rsid w:val="00AB5E9B"/>
    <w:rsid w:val="00AD56FA"/>
    <w:rsid w:val="00AD6C18"/>
    <w:rsid w:val="00B018DF"/>
    <w:rsid w:val="00B0482D"/>
    <w:rsid w:val="00B07F76"/>
    <w:rsid w:val="00B13FB1"/>
    <w:rsid w:val="00B16D6D"/>
    <w:rsid w:val="00B21093"/>
    <w:rsid w:val="00B319BA"/>
    <w:rsid w:val="00B40E15"/>
    <w:rsid w:val="00B43217"/>
    <w:rsid w:val="00B45D8E"/>
    <w:rsid w:val="00B46001"/>
    <w:rsid w:val="00B462D6"/>
    <w:rsid w:val="00B46ABD"/>
    <w:rsid w:val="00B516C2"/>
    <w:rsid w:val="00B57109"/>
    <w:rsid w:val="00B66A64"/>
    <w:rsid w:val="00B72EBB"/>
    <w:rsid w:val="00B74825"/>
    <w:rsid w:val="00B85049"/>
    <w:rsid w:val="00B8760A"/>
    <w:rsid w:val="00BA77C6"/>
    <w:rsid w:val="00BB1D2D"/>
    <w:rsid w:val="00BB3FFD"/>
    <w:rsid w:val="00BC3C54"/>
    <w:rsid w:val="00BD2EE8"/>
    <w:rsid w:val="00BD3957"/>
    <w:rsid w:val="00BE7CF6"/>
    <w:rsid w:val="00BF1595"/>
    <w:rsid w:val="00C00517"/>
    <w:rsid w:val="00C02B76"/>
    <w:rsid w:val="00C02C69"/>
    <w:rsid w:val="00C02E4C"/>
    <w:rsid w:val="00C0514F"/>
    <w:rsid w:val="00C144A0"/>
    <w:rsid w:val="00C325C3"/>
    <w:rsid w:val="00C33E00"/>
    <w:rsid w:val="00C44924"/>
    <w:rsid w:val="00C5344D"/>
    <w:rsid w:val="00C76521"/>
    <w:rsid w:val="00C94407"/>
    <w:rsid w:val="00C94D5F"/>
    <w:rsid w:val="00C9516E"/>
    <w:rsid w:val="00C95E96"/>
    <w:rsid w:val="00CB107B"/>
    <w:rsid w:val="00CB1EC5"/>
    <w:rsid w:val="00CB36E2"/>
    <w:rsid w:val="00CB5C7D"/>
    <w:rsid w:val="00CB5D85"/>
    <w:rsid w:val="00CC08DF"/>
    <w:rsid w:val="00CD0FBE"/>
    <w:rsid w:val="00CD77E9"/>
    <w:rsid w:val="00CE102E"/>
    <w:rsid w:val="00CE5E17"/>
    <w:rsid w:val="00CF12AE"/>
    <w:rsid w:val="00CF1B3C"/>
    <w:rsid w:val="00CF29A1"/>
    <w:rsid w:val="00D01FC1"/>
    <w:rsid w:val="00D0372F"/>
    <w:rsid w:val="00D0557D"/>
    <w:rsid w:val="00D06E91"/>
    <w:rsid w:val="00D11340"/>
    <w:rsid w:val="00D119E5"/>
    <w:rsid w:val="00D12DA7"/>
    <w:rsid w:val="00D21156"/>
    <w:rsid w:val="00D23B6B"/>
    <w:rsid w:val="00D30F96"/>
    <w:rsid w:val="00D42D8A"/>
    <w:rsid w:val="00D45A0B"/>
    <w:rsid w:val="00D50B55"/>
    <w:rsid w:val="00D52D92"/>
    <w:rsid w:val="00D57F01"/>
    <w:rsid w:val="00D8594C"/>
    <w:rsid w:val="00D86814"/>
    <w:rsid w:val="00D923AC"/>
    <w:rsid w:val="00D96D00"/>
    <w:rsid w:val="00D97897"/>
    <w:rsid w:val="00DA2CF5"/>
    <w:rsid w:val="00DA2EA2"/>
    <w:rsid w:val="00DA5605"/>
    <w:rsid w:val="00DA7AD5"/>
    <w:rsid w:val="00DB5C11"/>
    <w:rsid w:val="00DC4E86"/>
    <w:rsid w:val="00DD494F"/>
    <w:rsid w:val="00DE0764"/>
    <w:rsid w:val="00DE32DA"/>
    <w:rsid w:val="00DE3526"/>
    <w:rsid w:val="00DE55A0"/>
    <w:rsid w:val="00DE65FF"/>
    <w:rsid w:val="00DF4445"/>
    <w:rsid w:val="00DF50CB"/>
    <w:rsid w:val="00E0258B"/>
    <w:rsid w:val="00E04688"/>
    <w:rsid w:val="00E211BA"/>
    <w:rsid w:val="00E2397A"/>
    <w:rsid w:val="00E32F72"/>
    <w:rsid w:val="00E333CC"/>
    <w:rsid w:val="00E467CE"/>
    <w:rsid w:val="00E63605"/>
    <w:rsid w:val="00E64AE6"/>
    <w:rsid w:val="00E7572C"/>
    <w:rsid w:val="00E843BE"/>
    <w:rsid w:val="00E931A4"/>
    <w:rsid w:val="00E941D1"/>
    <w:rsid w:val="00EA19AD"/>
    <w:rsid w:val="00EB3A8A"/>
    <w:rsid w:val="00EC1829"/>
    <w:rsid w:val="00EC1922"/>
    <w:rsid w:val="00ED114B"/>
    <w:rsid w:val="00ED6A2A"/>
    <w:rsid w:val="00ED6FF5"/>
    <w:rsid w:val="00EE512F"/>
    <w:rsid w:val="00F01CE8"/>
    <w:rsid w:val="00F035F3"/>
    <w:rsid w:val="00F0633E"/>
    <w:rsid w:val="00F14FE5"/>
    <w:rsid w:val="00F31C50"/>
    <w:rsid w:val="00F52421"/>
    <w:rsid w:val="00F54F9C"/>
    <w:rsid w:val="00F617C7"/>
    <w:rsid w:val="00F63620"/>
    <w:rsid w:val="00F73AB3"/>
    <w:rsid w:val="00F848AD"/>
    <w:rsid w:val="00F92A2F"/>
    <w:rsid w:val="00F95434"/>
    <w:rsid w:val="00F95CFD"/>
    <w:rsid w:val="00FA7443"/>
    <w:rsid w:val="00FB33CD"/>
    <w:rsid w:val="00FC0F6C"/>
    <w:rsid w:val="00FC1E92"/>
    <w:rsid w:val="00FC40D3"/>
    <w:rsid w:val="00FD1593"/>
    <w:rsid w:val="00FD2307"/>
    <w:rsid w:val="00FE1DAB"/>
    <w:rsid w:val="00FF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9BB70"/>
  <w15:chartTrackingRefBased/>
  <w15:docId w15:val="{DA587482-FECA-43D3-8188-14CBC511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E86"/>
    <w:rPr>
      <w:rFonts w:eastAsia="Times New Roman" w:cs="Times New Roman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8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Heading3">
    <w:name w:val="heading 3"/>
    <w:basedOn w:val="Normal"/>
    <w:next w:val="Normal"/>
    <w:link w:val="Heading3Char"/>
    <w:qFormat/>
    <w:rsid w:val="00DC4E86"/>
    <w:pPr>
      <w:keepNext/>
      <w:spacing w:before="240" w:after="60"/>
      <w:outlineLvl w:val="2"/>
    </w:pPr>
    <w:rPr>
      <w:b/>
      <w:bCs/>
      <w:iCs/>
      <w:sz w:val="26"/>
      <w:szCs w:val="26"/>
      <w:lang w:val="x-none" w:eastAsia="en-GB"/>
    </w:rPr>
  </w:style>
  <w:style w:type="paragraph" w:styleId="Heading7">
    <w:name w:val="heading 7"/>
    <w:basedOn w:val="Normal"/>
    <w:next w:val="Normal"/>
    <w:link w:val="Heading7Char"/>
    <w:uiPriority w:val="9"/>
    <w:qFormat/>
    <w:rsid w:val="00D97897"/>
    <w:pPr>
      <w:spacing w:before="240" w:after="60"/>
      <w:outlineLvl w:val="6"/>
    </w:pPr>
    <w:rPr>
      <w:rFonts w:ascii="Calibri" w:hAnsi="Calibri"/>
      <w:sz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13FB1"/>
    <w:pPr>
      <w:framePr w:w="7920" w:h="1980" w:hRule="exact" w:hSpace="180" w:wrap="auto" w:hAnchor="page" w:xAlign="center" w:yAlign="bottom"/>
      <w:ind w:left="2880"/>
    </w:pPr>
    <w:rPr>
      <w:b/>
      <w:sz w:val="24"/>
    </w:rPr>
  </w:style>
  <w:style w:type="paragraph" w:styleId="EnvelopeReturn">
    <w:name w:val="envelope return"/>
    <w:basedOn w:val="Normal"/>
    <w:uiPriority w:val="99"/>
    <w:semiHidden/>
    <w:unhideWhenUsed/>
    <w:rsid w:val="00B13FB1"/>
    <w:rPr>
      <w:b/>
      <w:sz w:val="20"/>
      <w:szCs w:val="20"/>
    </w:rPr>
  </w:style>
  <w:style w:type="character" w:customStyle="1" w:styleId="Heading3Char">
    <w:name w:val="Heading 3 Char"/>
    <w:link w:val="Heading3"/>
    <w:rsid w:val="00DC4E86"/>
    <w:rPr>
      <w:rFonts w:eastAsia="Times New Roman"/>
      <w:b/>
      <w:bCs/>
      <w:iCs/>
      <w:sz w:val="26"/>
      <w:szCs w:val="2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A4695"/>
    <w:pPr>
      <w:tabs>
        <w:tab w:val="center" w:pos="4513"/>
        <w:tab w:val="right" w:pos="9026"/>
      </w:tabs>
    </w:pPr>
    <w:rPr>
      <w:sz w:val="20"/>
      <w:lang w:val="x-none" w:eastAsia="x-none"/>
    </w:rPr>
  </w:style>
  <w:style w:type="character" w:customStyle="1" w:styleId="HeaderChar">
    <w:name w:val="Header Char"/>
    <w:link w:val="Header"/>
    <w:uiPriority w:val="99"/>
    <w:rsid w:val="002A4695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A4695"/>
    <w:pPr>
      <w:tabs>
        <w:tab w:val="center" w:pos="4513"/>
        <w:tab w:val="right" w:pos="9026"/>
      </w:tabs>
    </w:pPr>
    <w:rPr>
      <w:sz w:val="20"/>
      <w:lang w:val="x-none" w:eastAsia="x-none"/>
    </w:rPr>
  </w:style>
  <w:style w:type="character" w:customStyle="1" w:styleId="FooterChar">
    <w:name w:val="Footer Char"/>
    <w:link w:val="Footer"/>
    <w:uiPriority w:val="99"/>
    <w:rsid w:val="002A4695"/>
    <w:rPr>
      <w:rFonts w:eastAsia="Times New Roman" w:cs="Times New Roman"/>
      <w:szCs w:val="24"/>
    </w:rPr>
  </w:style>
  <w:style w:type="character" w:styleId="Hyperlink">
    <w:name w:val="Hyperlink"/>
    <w:uiPriority w:val="99"/>
    <w:unhideWhenUsed/>
    <w:rsid w:val="00D12DA7"/>
    <w:rPr>
      <w:color w:val="0000FF"/>
      <w:u w:val="single"/>
    </w:rPr>
  </w:style>
  <w:style w:type="paragraph" w:customStyle="1" w:styleId="Pa7">
    <w:name w:val="Pa7"/>
    <w:basedOn w:val="Normal"/>
    <w:next w:val="Normal"/>
    <w:uiPriority w:val="99"/>
    <w:rsid w:val="00C144A0"/>
    <w:pPr>
      <w:autoSpaceDE w:val="0"/>
      <w:autoSpaceDN w:val="0"/>
      <w:adjustRightInd w:val="0"/>
      <w:spacing w:line="201" w:lineRule="atLeast"/>
    </w:pPr>
    <w:rPr>
      <w:rFonts w:ascii="Helvetica 45 Light" w:eastAsia="Calibri" w:hAnsi="Helvetica 45 Light" w:cs="Arial"/>
      <w:sz w:val="24"/>
      <w:lang w:eastAsia="en-GB"/>
    </w:rPr>
  </w:style>
  <w:style w:type="paragraph" w:customStyle="1" w:styleId="Pa2">
    <w:name w:val="Pa2"/>
    <w:basedOn w:val="Normal"/>
    <w:next w:val="Normal"/>
    <w:uiPriority w:val="99"/>
    <w:rsid w:val="00C144A0"/>
    <w:pPr>
      <w:autoSpaceDE w:val="0"/>
      <w:autoSpaceDN w:val="0"/>
      <w:adjustRightInd w:val="0"/>
      <w:spacing w:line="201" w:lineRule="atLeast"/>
    </w:pPr>
    <w:rPr>
      <w:rFonts w:ascii="Helvetica 45 Light" w:eastAsia="Calibri" w:hAnsi="Helvetica 45 Light" w:cs="Arial"/>
      <w:sz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C2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3B1C22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870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94C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87094C"/>
    <w:rPr>
      <w:rFonts w:eastAsia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94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7094C"/>
    <w:rPr>
      <w:rFonts w:eastAsia="Times New Roman" w:cs="Times New Roman"/>
      <w:b/>
      <w:bCs/>
      <w:lang w:eastAsia="en-US"/>
    </w:rPr>
  </w:style>
  <w:style w:type="character" w:customStyle="1" w:styleId="Heading1Char">
    <w:name w:val="Heading 1 Char"/>
    <w:link w:val="Heading1"/>
    <w:uiPriority w:val="9"/>
    <w:rsid w:val="00D9789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7Char">
    <w:name w:val="Heading 7 Char"/>
    <w:link w:val="Heading7"/>
    <w:uiPriority w:val="9"/>
    <w:semiHidden/>
    <w:rsid w:val="00D97897"/>
    <w:rPr>
      <w:rFonts w:ascii="Calibri" w:eastAsia="Times New Roman" w:hAnsi="Calibri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528C1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3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henecgroup.sharepoint.com/:w:/s/SafetyTeam/NECGroupInformation/Ea6q7YAe0t1FroRimuiTob0BVSACk7UMaNopOdBkW5iLW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date xmlns="a54c5961-0bfa-4eb5-88f7-61cbc7fd7521" xsi:nil="true"/>
    <_Flow_SignoffStatus xmlns="a54c5961-0bfa-4eb5-88f7-61cbc7fd75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F8689BD3F0841AB5CD7905E216106" ma:contentTypeVersion="13" ma:contentTypeDescription="Create a new document." ma:contentTypeScope="" ma:versionID="b95d989548b00f8447e6e007e6d40fc9">
  <xsd:schema xmlns:xsd="http://www.w3.org/2001/XMLSchema" xmlns:xs="http://www.w3.org/2001/XMLSchema" xmlns:p="http://schemas.microsoft.com/office/2006/metadata/properties" xmlns:ns2="a54c5961-0bfa-4eb5-88f7-61cbc7fd7521" xmlns:ns3="e46562f0-a8f5-42a3-bd1e-1e880f03cc0d" targetNamespace="http://schemas.microsoft.com/office/2006/metadata/properties" ma:root="true" ma:fieldsID="1b9b0cf1198973292bb862d61ed048c4" ns2:_="" ns3:_="">
    <xsd:import namespace="a54c5961-0bfa-4eb5-88f7-61cbc7fd7521"/>
    <xsd:import namespace="e46562f0-a8f5-42a3-bd1e-1e880f03cc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Renewal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c5961-0bfa-4eb5-88f7-61cbc7fd7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Renewaldate" ma:index="20" nillable="true" ma:displayName="Renewal date" ma:format="DateOnly" ma:internalName="Renewal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562f0-a8f5-42a3-bd1e-1e880f03c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D4B53-C160-401D-AAD0-E66361E59C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FED692-2061-4021-89F3-B1FC102F4B8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46562f0-a8f5-42a3-bd1e-1e880f03cc0d"/>
    <ds:schemaRef ds:uri="http://schemas.microsoft.com/office/infopath/2007/PartnerControls"/>
    <ds:schemaRef ds:uri="http://purl.org/dc/elements/1.1/"/>
    <ds:schemaRef ds:uri="http://schemas.microsoft.com/office/2006/metadata/properties"/>
    <ds:schemaRef ds:uri="a54c5961-0bfa-4eb5-88f7-61cbc7fd752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5F913D1-EA3D-42E1-B49F-73A78923A0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7AE393-D1D1-44DA-8975-1341595FF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c5961-0bfa-4eb5-88f7-61cbc7fd7521"/>
    <ds:schemaRef ds:uri="e46562f0-a8f5-42a3-bd1e-1e880f03c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4974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NEC Group</Company>
  <LinksUpToDate>false</LinksUpToDate>
  <CharactersWithSpaces>5835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Lucy Ridley</cp:lastModifiedBy>
  <cp:revision>2</cp:revision>
  <cp:lastPrinted>2015-09-23T06:19:00Z</cp:lastPrinted>
  <dcterms:created xsi:type="dcterms:W3CDTF">2025-05-13T13:53:00Z</dcterms:created>
  <dcterms:modified xsi:type="dcterms:W3CDTF">2025-05-13T13:53:00Z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Owner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PublishingExpirationDate">
    <vt:lpwstr/>
  </property>
  <property fmtid="{D5CDD505-2E9C-101B-9397-08002B2CF9AE}" pid="12" name="PublishingStartDate">
    <vt:lpwstr/>
  </property>
  <property fmtid="{D5CDD505-2E9C-101B-9397-08002B2CF9AE}" pid="13" name="ContentTypeId">
    <vt:lpwstr>0x010100098F8689BD3F0841AB5CD7905E216106</vt:lpwstr>
  </property>
</Properties>
</file>